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B2" w:rsidRDefault="00FA6B5C" w:rsidP="001D4A12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573DB2">
        <w:rPr>
          <w:rFonts w:asciiTheme="majorBidi" w:hAnsiTheme="majorBidi" w:cstheme="majorBidi"/>
          <w:b/>
          <w:sz w:val="24"/>
          <w:szCs w:val="24"/>
          <w:lang w:val="id-ID"/>
        </w:rPr>
        <w:t>Pedoman Penulisan Artikel Jurnal Akuntansi Bisnis</w:t>
      </w:r>
    </w:p>
    <w:p w:rsidR="001D4A12" w:rsidRPr="00573DB2" w:rsidRDefault="001D4A12" w:rsidP="001D4A1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73DB2">
        <w:rPr>
          <w:rFonts w:asciiTheme="majorBidi" w:hAnsiTheme="majorBidi" w:cstheme="majorBidi"/>
          <w:sz w:val="24"/>
          <w:szCs w:val="24"/>
          <w:lang w:val="id-ID"/>
        </w:rPr>
        <w:t xml:space="preserve"> (Center</w:t>
      </w:r>
      <w:r w:rsidR="00573DB2">
        <w:rPr>
          <w:rFonts w:asciiTheme="majorBidi" w:hAnsiTheme="majorBidi" w:cstheme="majorBidi"/>
          <w:sz w:val="24"/>
          <w:szCs w:val="24"/>
          <w:lang w:val="id-ID"/>
        </w:rPr>
        <w:t>, Times New Roman, 12</w:t>
      </w:r>
      <w:r w:rsidRPr="00573DB2">
        <w:rPr>
          <w:rFonts w:asciiTheme="majorBidi" w:hAnsiTheme="majorBidi" w:cstheme="majorBidi"/>
          <w:sz w:val="24"/>
          <w:szCs w:val="24"/>
          <w:lang w:val="id-ID"/>
        </w:rPr>
        <w:t xml:space="preserve"> pt, Bold)</w:t>
      </w:r>
    </w:p>
    <w:p w:rsidR="001D4A12" w:rsidRPr="0022359C" w:rsidRDefault="001D4A12" w:rsidP="001D4A12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D4A12" w:rsidRPr="00573DB2" w:rsidRDefault="001D4A12" w:rsidP="003272E4">
      <w:pPr>
        <w:spacing w:after="0" w:line="240" w:lineRule="auto"/>
        <w:jc w:val="center"/>
        <w:outlineLvl w:val="0"/>
        <w:rPr>
          <w:rFonts w:asciiTheme="majorBidi" w:hAnsiTheme="majorBidi" w:cstheme="majorBidi"/>
          <w:bCs/>
          <w:sz w:val="24"/>
          <w:szCs w:val="24"/>
          <w:vertAlign w:val="superscript"/>
          <w:lang w:val="id-ID"/>
        </w:rPr>
      </w:pPr>
      <w:proofErr w:type="spellStart"/>
      <w:r w:rsidRPr="00573DB2">
        <w:rPr>
          <w:rFonts w:asciiTheme="majorBidi" w:hAnsiTheme="majorBidi" w:cstheme="majorBidi"/>
          <w:b/>
          <w:bCs/>
          <w:sz w:val="24"/>
          <w:szCs w:val="24"/>
        </w:rPr>
        <w:t>Penulis</w:t>
      </w:r>
      <w:proofErr w:type="spellEnd"/>
      <w:r w:rsidRPr="00573D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73DB2">
        <w:rPr>
          <w:rFonts w:asciiTheme="majorBidi" w:hAnsiTheme="majorBidi" w:cstheme="majorBidi"/>
          <w:b/>
          <w:bCs/>
          <w:sz w:val="24"/>
          <w:szCs w:val="24"/>
        </w:rPr>
        <w:t>Pertama</w:t>
      </w:r>
      <w:proofErr w:type="spellEnd"/>
      <w:r w:rsidRPr="00573D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573DB2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 xml:space="preserve">a </w:t>
      </w:r>
      <w:r w:rsidRPr="00573DB2">
        <w:rPr>
          <w:rFonts w:ascii="Times New Roman" w:hAnsi="Times New Roman" w:cs="Times New Roman"/>
          <w:bCs/>
          <w:sz w:val="24"/>
          <w:szCs w:val="24"/>
          <w:lang w:val="id-ID"/>
        </w:rPr>
        <w:t>,</w:t>
      </w:r>
      <w:proofErr w:type="gramEnd"/>
      <w:r w:rsidRPr="00573DB2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573DB2">
        <w:rPr>
          <w:rFonts w:ascii="Times New Roman" w:hAnsi="Times New Roman" w:cs="Times New Roman"/>
          <w:b/>
          <w:bCs/>
          <w:sz w:val="24"/>
          <w:szCs w:val="24"/>
        </w:rPr>
        <w:t>Penulis</w:t>
      </w:r>
      <w:proofErr w:type="spellEnd"/>
      <w:r w:rsidRPr="00573D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DB2">
        <w:rPr>
          <w:rFonts w:ascii="Times New Roman" w:hAnsi="Times New Roman" w:cs="Times New Roman"/>
          <w:b/>
          <w:bCs/>
          <w:sz w:val="24"/>
          <w:szCs w:val="24"/>
        </w:rPr>
        <w:t>Kedua</w:t>
      </w:r>
      <w:proofErr w:type="spellEnd"/>
      <w:r w:rsidRPr="00573DB2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b</w:t>
      </w:r>
    </w:p>
    <w:p w:rsidR="001D4A12" w:rsidRPr="000052FA" w:rsidRDefault="001D4A12" w:rsidP="003272E4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vertAlign w:val="superscript"/>
          <w:lang w:val="id-ID"/>
        </w:rPr>
      </w:pPr>
      <w:proofErr w:type="spellStart"/>
      <w:r w:rsidRPr="000052FA">
        <w:rPr>
          <w:rFonts w:asciiTheme="majorBidi" w:hAnsiTheme="majorBidi" w:cstheme="majorBidi"/>
          <w:i/>
          <w:iCs/>
          <w:sz w:val="20"/>
          <w:szCs w:val="20"/>
        </w:rPr>
        <w:t>Institusi</w:t>
      </w:r>
      <w:proofErr w:type="spellEnd"/>
      <w:r w:rsidRPr="000052FA">
        <w:rPr>
          <w:rFonts w:asciiTheme="majorBidi" w:hAnsiTheme="majorBidi" w:cstheme="majorBidi"/>
          <w:i/>
          <w:iCs/>
          <w:sz w:val="20"/>
          <w:szCs w:val="20"/>
        </w:rPr>
        <w:t>/</w:t>
      </w:r>
      <w:proofErr w:type="spellStart"/>
      <w:r w:rsidRPr="000052FA">
        <w:rPr>
          <w:rFonts w:asciiTheme="majorBidi" w:hAnsiTheme="majorBidi" w:cstheme="majorBidi"/>
          <w:i/>
          <w:iCs/>
          <w:sz w:val="20"/>
          <w:szCs w:val="20"/>
        </w:rPr>
        <w:t>Afiliasi</w:t>
      </w:r>
      <w:proofErr w:type="spellEnd"/>
      <w:r>
        <w:rPr>
          <w:rFonts w:asciiTheme="majorBidi" w:hAnsiTheme="majorBidi" w:cstheme="majorBidi"/>
          <w:i/>
          <w:iCs/>
          <w:sz w:val="20"/>
          <w:szCs w:val="20"/>
          <w:vertAlign w:val="superscript"/>
          <w:lang w:val="id-ID"/>
        </w:rPr>
        <w:t>ab</w:t>
      </w:r>
    </w:p>
    <w:p w:rsidR="001D4A12" w:rsidRPr="000052FA" w:rsidRDefault="001D4A12" w:rsidP="003272E4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id-ID"/>
        </w:rPr>
      </w:pPr>
      <w:r>
        <w:rPr>
          <w:rFonts w:asciiTheme="majorBidi" w:hAnsiTheme="majorBidi" w:cstheme="majorBidi"/>
          <w:sz w:val="20"/>
          <w:szCs w:val="20"/>
          <w:lang w:val="id-ID"/>
        </w:rPr>
        <w:t>author</w:t>
      </w:r>
      <w:r w:rsidRPr="00B25391">
        <w:rPr>
          <w:rFonts w:asciiTheme="majorBidi" w:hAnsiTheme="majorBidi" w:cstheme="majorBidi"/>
          <w:sz w:val="20"/>
          <w:szCs w:val="20"/>
        </w:rPr>
        <w:t>@</w:t>
      </w:r>
      <w:r>
        <w:rPr>
          <w:rFonts w:asciiTheme="majorBidi" w:hAnsiTheme="majorBidi" w:cstheme="majorBidi"/>
          <w:sz w:val="20"/>
          <w:szCs w:val="20"/>
          <w:lang w:val="id-ID"/>
        </w:rPr>
        <w:t>mail</w:t>
      </w:r>
      <w:r w:rsidRPr="00B25391">
        <w:rPr>
          <w:rFonts w:asciiTheme="majorBidi" w:hAnsiTheme="majorBidi" w:cstheme="majorBidi"/>
          <w:sz w:val="20"/>
          <w:szCs w:val="20"/>
        </w:rPr>
        <w:t>.</w:t>
      </w:r>
      <w:r>
        <w:rPr>
          <w:rFonts w:asciiTheme="majorBidi" w:hAnsiTheme="majorBidi" w:cstheme="majorBidi"/>
          <w:sz w:val="20"/>
          <w:szCs w:val="20"/>
          <w:lang w:val="id-ID"/>
        </w:rPr>
        <w:t>co</w:t>
      </w:r>
      <w:r w:rsidR="00573DB2">
        <w:rPr>
          <w:rFonts w:asciiTheme="majorBidi" w:hAnsiTheme="majorBidi" w:cstheme="majorBidi"/>
          <w:sz w:val="20"/>
          <w:szCs w:val="20"/>
          <w:lang w:val="id-ID"/>
        </w:rPr>
        <w:t>.id</w:t>
      </w:r>
    </w:p>
    <w:p w:rsidR="006E2A87" w:rsidRDefault="006E2A87">
      <w:pPr>
        <w:rPr>
          <w:lang w:val="id-ID"/>
        </w:rPr>
      </w:pPr>
    </w:p>
    <w:p w:rsidR="001D4A12" w:rsidRPr="001D4A12" w:rsidRDefault="001D4A12" w:rsidP="001D4A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7EA7">
        <w:rPr>
          <w:rFonts w:ascii="Times New Roman" w:hAnsi="Times New Roman"/>
          <w:b/>
          <w:i/>
          <w:sz w:val="24"/>
          <w:szCs w:val="24"/>
        </w:rPr>
        <w:t>A</w:t>
      </w:r>
      <w:r>
        <w:rPr>
          <w:rFonts w:ascii="Times New Roman" w:hAnsi="Times New Roman"/>
          <w:b/>
          <w:i/>
          <w:sz w:val="24"/>
          <w:szCs w:val="24"/>
        </w:rPr>
        <w:t>bstract</w:t>
      </w:r>
    </w:p>
    <w:p w:rsidR="001D4A12" w:rsidRPr="001D4A12" w:rsidRDefault="001D4A12" w:rsidP="001D4A12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 w:rsidRPr="001D4A12">
        <w:rPr>
          <w:rFonts w:ascii="Times New Roman" w:hAnsi="Times New Roman" w:cs="Times New Roman"/>
          <w:i/>
          <w:iCs/>
          <w:sz w:val="24"/>
          <w:szCs w:val="24"/>
        </w:rPr>
        <w:t xml:space="preserve">Abstract of </w:t>
      </w:r>
      <w:r w:rsidR="00FF5F8A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approximately </w:t>
      </w:r>
      <w:r w:rsidRPr="001D4A12">
        <w:rPr>
          <w:rFonts w:ascii="Times New Roman" w:hAnsi="Times New Roman" w:cs="Times New Roman"/>
          <w:i/>
          <w:iCs/>
          <w:sz w:val="24"/>
          <w:szCs w:val="24"/>
        </w:rPr>
        <w:t>200 words is written in English. Abstract should provide brief description about the problem, method and results of the research. It should be typed in single spacing, Times New Roman 9 point. In addition, keywords need to be provided to highlight the research problem and key terms of the research.  Abstract should end with a comment about the importance of the results or overall conclusion.</w:t>
      </w:r>
    </w:p>
    <w:p w:rsidR="001D4A12" w:rsidRDefault="00DD759B" w:rsidP="001D4A12">
      <w:pPr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 xml:space="preserve">Keywords: Please provide 3-5 </w:t>
      </w:r>
      <w:bookmarkStart w:id="0" w:name="_GoBack"/>
      <w:bookmarkEnd w:id="0"/>
      <w:r w:rsidR="001D4A12" w:rsidRPr="00FF5F8A"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>keywords in alphabetical order separated by coma</w:t>
      </w:r>
      <w:r w:rsidR="001D4A12">
        <w:rPr>
          <w:rFonts w:ascii="Times New Roman" w:hAnsi="Times New Roman" w:cs="Times New Roman"/>
          <w:bCs/>
          <w:i/>
          <w:sz w:val="24"/>
          <w:szCs w:val="24"/>
          <w:lang w:val="id-ID"/>
        </w:rPr>
        <w:t>.</w:t>
      </w:r>
    </w:p>
    <w:p w:rsidR="008A487C" w:rsidRDefault="008A487C" w:rsidP="008A487C">
      <w:pPr>
        <w:jc w:val="center"/>
        <w:rPr>
          <w:rFonts w:ascii="Times New Roman" w:eastAsia="Times New Roman" w:hAnsi="Times New Roman"/>
          <w:b/>
          <w:sz w:val="24"/>
          <w:szCs w:val="24"/>
          <w:lang w:val="id-ID" w:eastAsia="id-ID"/>
        </w:rPr>
      </w:pPr>
    </w:p>
    <w:p w:rsidR="008A487C" w:rsidRPr="00157EA7" w:rsidRDefault="008A487C" w:rsidP="008A487C">
      <w:pPr>
        <w:jc w:val="center"/>
        <w:rPr>
          <w:rFonts w:ascii="Times New Roman" w:eastAsia="Times New Roman" w:hAnsi="Times New Roman"/>
          <w:b/>
          <w:sz w:val="24"/>
          <w:szCs w:val="24"/>
          <w:lang w:eastAsia="id-ID"/>
        </w:rPr>
      </w:pPr>
      <w:proofErr w:type="spellStart"/>
      <w:r w:rsidRPr="00157EA7">
        <w:rPr>
          <w:rFonts w:ascii="Times New Roman" w:eastAsia="Times New Roman" w:hAnsi="Times New Roman"/>
          <w:b/>
          <w:sz w:val="24"/>
          <w:szCs w:val="24"/>
          <w:lang w:eastAsia="id-ID"/>
        </w:rPr>
        <w:t>A</w:t>
      </w:r>
      <w:r>
        <w:rPr>
          <w:rFonts w:ascii="Times New Roman" w:eastAsia="Times New Roman" w:hAnsi="Times New Roman"/>
          <w:b/>
          <w:sz w:val="24"/>
          <w:szCs w:val="24"/>
          <w:lang w:eastAsia="id-ID"/>
        </w:rPr>
        <w:t>bstrak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id-ID"/>
        </w:rPr>
        <w:t xml:space="preserve"> </w:t>
      </w:r>
    </w:p>
    <w:p w:rsidR="008A487C" w:rsidRPr="00157EA7" w:rsidRDefault="008A487C" w:rsidP="008A487C">
      <w:pPr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val="id-ID" w:eastAsia="id-ID"/>
        </w:rPr>
        <w:t xml:space="preserve">Abstrak juga ditulis dalam bahasa Indonesia yang terdiri dari 200 kata. Abstrak memberikan deskripsi singkat tentang masalah, metoda, dan hasil penelitian serta diketik dengan satu spasi menggunakan </w:t>
      </w:r>
      <w:r w:rsidRPr="008A487C">
        <w:rPr>
          <w:rFonts w:ascii="Times New Roman" w:eastAsia="Times New Roman" w:hAnsi="Times New Roman"/>
          <w:i/>
          <w:sz w:val="24"/>
          <w:szCs w:val="24"/>
          <w:lang w:val="id-ID" w:eastAsia="id-ID"/>
        </w:rPr>
        <w:t>times new roman</w:t>
      </w:r>
      <w:r>
        <w:rPr>
          <w:rFonts w:ascii="Times New Roman" w:eastAsia="Times New Roman" w:hAnsi="Times New Roman"/>
          <w:sz w:val="24"/>
          <w:szCs w:val="24"/>
          <w:lang w:val="id-ID" w:eastAsia="id-ID"/>
        </w:rPr>
        <w:t xml:space="preserve"> 9 poin. Sebagai tambahan, kata kunci harus dibuat untuk menekankan masalah penelitian dan istilah penting. Abstrak diakhiri dengan menyatakan pentingnya hasil penelitian atau kesimpulan menyeluruh.  </w:t>
      </w:r>
    </w:p>
    <w:p w:rsidR="001D4A12" w:rsidRDefault="008A487C" w:rsidP="008A487C">
      <w:pPr>
        <w:tabs>
          <w:tab w:val="left" w:pos="3780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id-ID" w:eastAsia="id-ID"/>
        </w:rPr>
      </w:pPr>
      <w:r w:rsidRPr="00D4067B">
        <w:rPr>
          <w:rFonts w:ascii="Times New Roman" w:eastAsia="Times New Roman" w:hAnsi="Times New Roman"/>
          <w:b/>
          <w:sz w:val="24"/>
          <w:szCs w:val="24"/>
          <w:lang w:eastAsia="id-ID"/>
        </w:rPr>
        <w:t xml:space="preserve">Kata </w:t>
      </w:r>
      <w:proofErr w:type="spellStart"/>
      <w:proofErr w:type="gramStart"/>
      <w:r w:rsidRPr="00D4067B">
        <w:rPr>
          <w:rFonts w:ascii="Times New Roman" w:eastAsia="Times New Roman" w:hAnsi="Times New Roman"/>
          <w:b/>
          <w:sz w:val="24"/>
          <w:szCs w:val="24"/>
          <w:lang w:eastAsia="id-ID"/>
        </w:rPr>
        <w:t>kunci</w:t>
      </w:r>
      <w:proofErr w:type="spellEnd"/>
      <w:r w:rsidRPr="00D4067B">
        <w:rPr>
          <w:rFonts w:ascii="Times New Roman" w:eastAsia="Times New Roman" w:hAnsi="Times New Roman"/>
          <w:b/>
          <w:sz w:val="24"/>
          <w:szCs w:val="24"/>
          <w:lang w:eastAsia="id-ID"/>
        </w:rPr>
        <w:t xml:space="preserve"> :</w:t>
      </w:r>
      <w:proofErr w:type="gramEnd"/>
      <w:r w:rsidRPr="00157EA7">
        <w:rPr>
          <w:rFonts w:ascii="Times New Roman" w:eastAsia="Times New Roman" w:hAnsi="Times New Roman"/>
          <w:b/>
          <w:sz w:val="24"/>
          <w:szCs w:val="24"/>
          <w:lang w:eastAsia="id-ID"/>
        </w:rPr>
        <w:t xml:space="preserve"> </w:t>
      </w:r>
      <w:r w:rsidRPr="00D4067B">
        <w:rPr>
          <w:rFonts w:ascii="Times New Roman" w:eastAsia="Times New Roman" w:hAnsi="Times New Roman"/>
          <w:b/>
          <w:sz w:val="24"/>
          <w:szCs w:val="24"/>
          <w:lang w:eastAsia="id-ID"/>
        </w:rPr>
        <w:t>t</w:t>
      </w:r>
      <w:r w:rsidR="00DD759B">
        <w:rPr>
          <w:rFonts w:ascii="Times New Roman" w:eastAsia="Times New Roman" w:hAnsi="Times New Roman"/>
          <w:b/>
          <w:sz w:val="24"/>
          <w:szCs w:val="24"/>
          <w:lang w:val="id-ID" w:eastAsia="id-ID"/>
        </w:rPr>
        <w:t>erdiri dari 3-5</w:t>
      </w:r>
      <w:r>
        <w:rPr>
          <w:rFonts w:ascii="Times New Roman" w:eastAsia="Times New Roman" w:hAnsi="Times New Roman"/>
          <w:b/>
          <w:sz w:val="24"/>
          <w:szCs w:val="24"/>
          <w:lang w:val="id-ID" w:eastAsia="id-ID"/>
        </w:rPr>
        <w:t xml:space="preserve"> kata dipisahkan dengan koma dan berurutan abjad.</w:t>
      </w:r>
    </w:p>
    <w:p w:rsidR="008A487C" w:rsidRDefault="008A487C" w:rsidP="008A487C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FF5F8A" w:rsidRPr="008A487C" w:rsidRDefault="00FF5F8A" w:rsidP="008A487C">
      <w:pPr>
        <w:tabs>
          <w:tab w:val="left" w:pos="3780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8A487C" w:rsidRPr="00573DB2" w:rsidRDefault="008A487C" w:rsidP="008A487C">
      <w:pPr>
        <w:pStyle w:val="ListParagraph"/>
        <w:numPr>
          <w:ilvl w:val="0"/>
          <w:numId w:val="1"/>
        </w:numPr>
        <w:spacing w:after="0"/>
        <w:ind w:left="426" w:hanging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B7081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FF5F8A">
        <w:rPr>
          <w:rFonts w:asciiTheme="majorBidi" w:hAnsiTheme="majorBidi" w:cstheme="majorBidi"/>
          <w:b/>
          <w:bCs/>
          <w:sz w:val="24"/>
          <w:szCs w:val="24"/>
          <w:lang w:val="id-ID"/>
        </w:rPr>
        <w:t>EN</w:t>
      </w:r>
      <w:r w:rsidR="00FF5F8A" w:rsidRPr="00573DB2">
        <w:rPr>
          <w:rFonts w:ascii="Times New Roman" w:hAnsi="Times New Roman" w:cs="Times New Roman"/>
          <w:b/>
          <w:bCs/>
          <w:sz w:val="24"/>
          <w:szCs w:val="24"/>
          <w:lang w:val="id-ID"/>
        </w:rPr>
        <w:t>DAHULUAN</w:t>
      </w:r>
    </w:p>
    <w:p w:rsidR="008A487C" w:rsidRPr="00DD759B" w:rsidRDefault="008C7520" w:rsidP="008C7520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proofErr w:type="spellStart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Bagian</w:t>
      </w:r>
      <w:proofErr w:type="spellEnd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memuat</w:t>
      </w:r>
      <w:proofErr w:type="spellEnd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latar</w:t>
      </w:r>
      <w:proofErr w:type="spellEnd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belakang</w:t>
      </w:r>
      <w:proofErr w:type="spellEnd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tujuan</w:t>
      </w:r>
      <w:proofErr w:type="spellEnd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atau</w:t>
      </w:r>
      <w:proofErr w:type="spellEnd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motivasi</w:t>
      </w:r>
      <w:proofErr w:type="spellEnd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dipicu</w:t>
      </w:r>
      <w:proofErr w:type="spellEnd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oleh</w:t>
      </w:r>
      <w:proofErr w:type="spellEnd"/>
      <w:r w:rsidR="00573DB2" w:rsidRPr="00573D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keberadaan</w:t>
      </w:r>
      <w:proofErr w:type="spellEnd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suatu</w:t>
      </w:r>
      <w:proofErr w:type="spellEnd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fenomena</w:t>
      </w:r>
      <w:proofErr w:type="spellEnd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 w:rsidR="00573DB2" w:rsidRPr="00573D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573DB2" w:rsidRPr="007377B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research gap, conflicting results</w:t>
      </w:r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juga</w:t>
      </w:r>
      <w:proofErr w:type="spellEnd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573DB2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memuat</w:t>
      </w:r>
      <w:proofErr w:type="spellEnd"/>
      <w:r w:rsidR="00573DB2" w:rsidRPr="00573DB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573DB2" w:rsidRPr="00DD759B">
        <w:rPr>
          <w:rFonts w:ascii="Times New Roman" w:eastAsia="Times New Roman" w:hAnsi="Times New Roman" w:cs="Times New Roman"/>
          <w:sz w:val="24"/>
          <w:szCs w:val="24"/>
          <w:lang w:eastAsia="id-ID"/>
        </w:rPr>
        <w:t>kontribusi</w:t>
      </w:r>
      <w:proofErr w:type="spellEnd"/>
      <w:r w:rsidR="00573DB2" w:rsidRPr="00DD759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573DB2" w:rsidRPr="00DD759B">
        <w:rPr>
          <w:rFonts w:ascii="Times New Roman" w:eastAsia="Times New Roman" w:hAnsi="Times New Roman" w:cs="Times New Roman"/>
          <w:sz w:val="24"/>
          <w:szCs w:val="24"/>
          <w:lang w:eastAsia="id-ID"/>
        </w:rPr>
        <w:t>penelitian</w:t>
      </w:r>
      <w:proofErr w:type="spellEnd"/>
      <w:r w:rsidR="00DD759B" w:rsidRPr="00DD75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</w:t>
      </w:r>
    </w:p>
    <w:p w:rsidR="00DD759B" w:rsidRPr="00DD759B" w:rsidRDefault="00DD759B" w:rsidP="008C7520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D75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Pr="00DD759B">
        <w:rPr>
          <w:rFonts w:ascii="Times New Roman" w:hAnsi="Times New Roman" w:cs="Times New Roman"/>
          <w:sz w:val="24"/>
          <w:szCs w:val="24"/>
          <w:lang w:val="id-ID"/>
        </w:rPr>
        <w:t>H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asil-hasil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r w:rsidRPr="00DD759B">
        <w:rPr>
          <w:rFonts w:ascii="Times New Roman" w:hAnsi="Times New Roman" w:cs="Times New Roman"/>
          <w:sz w:val="24"/>
          <w:szCs w:val="24"/>
          <w:lang w:val="id-ID"/>
        </w:rPr>
        <w:t xml:space="preserve">menunjukkan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r w:rsidRPr="00DD759B">
        <w:rPr>
          <w:rFonts w:ascii="Times New Roman" w:hAnsi="Times New Roman" w:cs="Times New Roman"/>
          <w:sz w:val="24"/>
          <w:szCs w:val="24"/>
          <w:lang w:val="id-ID"/>
        </w:rPr>
        <w:t xml:space="preserve">kualitas auditor dan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utang</w:t>
      </w:r>
      <w:proofErr w:type="spellEnd"/>
      <w:r w:rsidRPr="00DD759B">
        <w:rPr>
          <w:rFonts w:ascii="Times New Roman" w:hAnsi="Times New Roman" w:cs="Times New Roman"/>
          <w:sz w:val="24"/>
          <w:szCs w:val="24"/>
          <w:lang w:val="id-ID"/>
        </w:rPr>
        <w:t xml:space="preserve"> tidak konsisten. Oleh karena itu, penelitian ini bertujuan untuk memberi bukti tambahan pengaruh kualitas auditor terhadap biaya utang</w:t>
      </w:r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perusahaan-perusahaan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mencatatkan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r w:rsidRPr="00DD759B">
        <w:rPr>
          <w:rFonts w:ascii="Times New Roman" w:hAnsi="Times New Roman" w:cs="Times New Roman"/>
          <w:i/>
          <w:sz w:val="24"/>
          <w:szCs w:val="24"/>
        </w:rPr>
        <w:t>(go public)</w:t>
      </w:r>
      <w:r w:rsidRPr="00DD759B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DD759B">
        <w:rPr>
          <w:rFonts w:ascii="Times New Roman" w:hAnsi="Times New Roman" w:cs="Times New Roman"/>
          <w:sz w:val="24"/>
          <w:szCs w:val="24"/>
        </w:rPr>
        <w:t xml:space="preserve">di Bursa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utang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>.</w:t>
      </w:r>
      <w:r w:rsidRPr="00DD759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IPO.</w:t>
      </w:r>
      <w:r w:rsidRPr="00DD759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759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DD759B">
        <w:rPr>
          <w:rFonts w:ascii="Times New Roman" w:hAnsi="Times New Roman" w:cs="Times New Roman"/>
          <w:sz w:val="24"/>
          <w:szCs w:val="24"/>
        </w:rPr>
        <w:t xml:space="preserve"> IPO).</w:t>
      </w:r>
    </w:p>
    <w:p w:rsidR="008A487C" w:rsidRPr="008A487C" w:rsidRDefault="008A487C" w:rsidP="008A487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A487C" w:rsidRPr="004B7081" w:rsidRDefault="00FF5F8A" w:rsidP="00FF5F8A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TINJAUAN LITERATUR DAN PERUMUSAN HIPOTESIS</w:t>
      </w:r>
    </w:p>
    <w:p w:rsidR="00DD759B" w:rsidRDefault="00FF5F8A" w:rsidP="00DD759B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8C7520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Bagian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berisi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kajian-kajian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teori</w:t>
      </w:r>
      <w:proofErr w:type="spellEnd"/>
      <w:r w:rsidR="008C7520" w:rsidRPr="008C752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pengembangan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argumen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konseptual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</w:t>
      </w:r>
      <w:r w:rsidR="008C752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menjadi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dasar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perumusan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hipotesis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8C7520" w:rsidRPr="008C752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Namun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perlu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ditekankan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bahwa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artikel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merupakan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hasil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pemikiran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kritis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atau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studi</w:t>
      </w:r>
      <w:proofErr w:type="spellEnd"/>
      <w:r w:rsidR="008C7520" w:rsidRPr="008C752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literatur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perlu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merumuskan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hipotesis</w:t>
      </w:r>
      <w:proofErr w:type="spellEnd"/>
      <w:r w:rsidR="008C7520" w:rsidRPr="007377B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8C7520" w:rsidRPr="008C752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="00573DB2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Subjudul ditulis rata kiri dengan huruf besar yang ditebalkan, jenis huruf Times new roman, dan ukuran font 12. </w:t>
      </w:r>
    </w:p>
    <w:p w:rsidR="004E370E" w:rsidRPr="00DD759B" w:rsidRDefault="004E370E" w:rsidP="00DD759B">
      <w:pPr>
        <w:ind w:left="426" w:firstLine="29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E370E"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r w:rsidRPr="004E370E">
        <w:rPr>
          <w:rFonts w:ascii="Times New Roman" w:hAnsi="Times New Roman" w:cs="Times New Roman"/>
          <w:sz w:val="24"/>
          <w:szCs w:val="24"/>
          <w:lang w:val="id-ID"/>
        </w:rPr>
        <w:t>et al</w:t>
      </w:r>
      <w:r w:rsidRPr="004E37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E370E">
        <w:rPr>
          <w:rFonts w:ascii="Times New Roman" w:hAnsi="Times New Roman" w:cs="Times New Roman"/>
          <w:sz w:val="24"/>
          <w:szCs w:val="24"/>
        </w:rPr>
        <w:t xml:space="preserve">(1991)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diaudit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>.</w:t>
      </w:r>
      <w:r w:rsidRPr="004E370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berargumen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diaudit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investor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>.</w:t>
      </w:r>
      <w:r w:rsidRPr="004E370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mengasumsikan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auditor yang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audit yang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sinyal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ketidakpastian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yand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investor.</w:t>
      </w:r>
      <w:r w:rsidRPr="004E370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E370E">
        <w:rPr>
          <w:rFonts w:ascii="Times New Roman" w:hAnsi="Times New Roman" w:cs="Times New Roman"/>
          <w:sz w:val="24"/>
          <w:szCs w:val="24"/>
        </w:rPr>
        <w:t xml:space="preserve">Copley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Dauthett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(2002)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Datar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et al.</w:t>
      </w:r>
      <w:r w:rsidRPr="004E370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E370E">
        <w:rPr>
          <w:rFonts w:ascii="Times New Roman" w:hAnsi="Times New Roman" w:cs="Times New Roman"/>
          <w:sz w:val="24"/>
          <w:szCs w:val="24"/>
        </w:rPr>
        <w:t xml:space="preserve">(1991)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auditor (</w:t>
      </w:r>
      <w:r w:rsidRPr="004E370E">
        <w:rPr>
          <w:rFonts w:ascii="Times New Roman" w:hAnsi="Times New Roman" w:cs="Times New Roman"/>
          <w:i/>
          <w:sz w:val="24"/>
          <w:szCs w:val="24"/>
        </w:rPr>
        <w:t>auditor choice</w:t>
      </w:r>
      <w:r w:rsidRPr="004E370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sinyal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370E">
        <w:rPr>
          <w:rFonts w:ascii="Times New Roman" w:hAnsi="Times New Roman" w:cs="Times New Roman"/>
          <w:sz w:val="24"/>
          <w:szCs w:val="24"/>
        </w:rPr>
        <w:t>ditahan</w:t>
      </w:r>
      <w:proofErr w:type="spellEnd"/>
      <w:r w:rsidRPr="004E370E">
        <w:rPr>
          <w:rFonts w:ascii="Times New Roman" w:hAnsi="Times New Roman" w:cs="Times New Roman"/>
          <w:sz w:val="24"/>
          <w:szCs w:val="24"/>
        </w:rPr>
        <w:t>.</w:t>
      </w:r>
      <w:r w:rsidRPr="004E370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D759B" w:rsidRPr="00DD759B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DD759B" w:rsidRPr="00DD7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759B" w:rsidRPr="00DD759B">
        <w:rPr>
          <w:rFonts w:ascii="Times New Roman" w:hAnsi="Times New Roman" w:cs="Times New Roman"/>
          <w:sz w:val="24"/>
          <w:szCs w:val="24"/>
        </w:rPr>
        <w:t>Palmrose</w:t>
      </w:r>
      <w:proofErr w:type="spellEnd"/>
      <w:r w:rsidR="00DD759B" w:rsidRPr="00DD759B">
        <w:rPr>
          <w:rFonts w:ascii="Times New Roman" w:hAnsi="Times New Roman" w:cs="Times New Roman"/>
          <w:sz w:val="24"/>
          <w:szCs w:val="24"/>
        </w:rPr>
        <w:t xml:space="preserve"> (1988) </w:t>
      </w:r>
      <w:proofErr w:type="spellStart"/>
      <w:r w:rsidR="00DD759B" w:rsidRPr="00DD759B">
        <w:rPr>
          <w:rFonts w:ascii="Times New Roman" w:hAnsi="Times New Roman" w:cs="Times New Roman"/>
          <w:sz w:val="24"/>
          <w:szCs w:val="24"/>
        </w:rPr>
        <w:t>mempersingkat</w:t>
      </w:r>
      <w:proofErr w:type="spellEnd"/>
      <w:r w:rsidR="00DD759B"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59B" w:rsidRPr="00DD759B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DD759B"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59B" w:rsidRPr="00DD759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DD759B" w:rsidRPr="00DD759B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="00DD759B" w:rsidRPr="00DD759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D759B"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59B" w:rsidRPr="00DD759B">
        <w:rPr>
          <w:rFonts w:ascii="Times New Roman" w:hAnsi="Times New Roman" w:cs="Times New Roman"/>
          <w:sz w:val="24"/>
          <w:szCs w:val="24"/>
        </w:rPr>
        <w:t>probabilitas</w:t>
      </w:r>
      <w:proofErr w:type="spellEnd"/>
      <w:r w:rsidR="00DD759B"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59B" w:rsidRPr="00DD759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D759B"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59B" w:rsidRPr="00DD759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D759B"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59B" w:rsidRPr="00DD759B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DD759B"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59B" w:rsidRPr="00DD759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D759B"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59B" w:rsidRPr="00DD759B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="00DD759B"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59B" w:rsidRPr="00DD759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DD759B" w:rsidRPr="00DD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59B" w:rsidRPr="00DD759B">
        <w:rPr>
          <w:rFonts w:ascii="Times New Roman" w:hAnsi="Times New Roman" w:cs="Times New Roman"/>
          <w:sz w:val="24"/>
          <w:szCs w:val="24"/>
        </w:rPr>
        <w:t>saji</w:t>
      </w:r>
      <w:proofErr w:type="spellEnd"/>
      <w:r w:rsidR="00DD759B" w:rsidRPr="00DD759B">
        <w:rPr>
          <w:rFonts w:ascii="Times New Roman" w:hAnsi="Times New Roman" w:cs="Times New Roman"/>
          <w:sz w:val="24"/>
          <w:szCs w:val="24"/>
        </w:rPr>
        <w:t xml:space="preserve"> material.</w:t>
      </w:r>
    </w:p>
    <w:p w:rsidR="004E370E" w:rsidRPr="00573DB2" w:rsidRDefault="004E370E" w:rsidP="008C7520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6BE4" w:rsidRPr="00546BE4" w:rsidRDefault="00546BE4" w:rsidP="00FF5F8A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46BE4">
        <w:rPr>
          <w:rFonts w:ascii="Times New Roman" w:hAnsi="Times New Roman" w:cs="Times New Roman"/>
          <w:b/>
          <w:sz w:val="24"/>
          <w:szCs w:val="24"/>
          <w:lang w:val="id-ID"/>
        </w:rPr>
        <w:t>METODA PENELITIAN</w:t>
      </w:r>
    </w:p>
    <w:p w:rsidR="00546BE4" w:rsidRDefault="00546BE4" w:rsidP="00546BE4">
      <w:pPr>
        <w:pStyle w:val="ListParagraph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Bagian ini berisi rancangan penelitian atau desain penelitian yang mencakup model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Pr="001F6B4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6B4A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1F6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6B4A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Pr="001F6B4A">
        <w:rPr>
          <w:rFonts w:ascii="Times New Roman" w:eastAsia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6B4A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1F6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6B4A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BE4" w:rsidRPr="00546BE4" w:rsidRDefault="00546BE4" w:rsidP="00546BE4">
      <w:pPr>
        <w:pStyle w:val="ListParagraph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546BE4" w:rsidRPr="00546BE4" w:rsidRDefault="00546BE4" w:rsidP="00546BE4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D57DB">
        <w:rPr>
          <w:rFonts w:ascii="Times New Roman" w:eastAsia="Times New Roman" w:hAnsi="Times New Roman" w:cs="Times New Roman"/>
          <w:b/>
          <w:sz w:val="24"/>
          <w:szCs w:val="24"/>
        </w:rPr>
        <w:t>HASIL DAN PEMBAHASAN</w:t>
      </w:r>
    </w:p>
    <w:p w:rsidR="00FF5F8A" w:rsidRDefault="008C7520" w:rsidP="00546BE4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proofErr w:type="spellStart"/>
      <w:r w:rsidR="00546BE4" w:rsidRPr="00300EDE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="00546BE4" w:rsidRPr="00300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6BE4" w:rsidRPr="00300EDE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546BE4" w:rsidRPr="00300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6BE4">
        <w:rPr>
          <w:rFonts w:ascii="Times New Roman" w:eastAsia="Times New Roman" w:hAnsi="Times New Roman" w:cs="Times New Roman"/>
          <w:sz w:val="24"/>
          <w:szCs w:val="24"/>
        </w:rPr>
        <w:t>menyajikan</w:t>
      </w:r>
      <w:proofErr w:type="spellEnd"/>
      <w:r w:rsidR="00546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6BE4">
        <w:rPr>
          <w:rFonts w:ascii="Times New Roman" w:eastAsia="Times New Roman" w:hAnsi="Times New Roman" w:cs="Times New Roman"/>
          <w:sz w:val="24"/>
          <w:szCs w:val="24"/>
        </w:rPr>
        <w:t>karakteristik</w:t>
      </w:r>
      <w:proofErr w:type="spellEnd"/>
      <w:r w:rsidR="00546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6BE4">
        <w:rPr>
          <w:rFonts w:ascii="Times New Roman" w:eastAsia="Times New Roman" w:hAnsi="Times New Roman" w:cs="Times New Roman"/>
          <w:sz w:val="24"/>
          <w:szCs w:val="24"/>
        </w:rPr>
        <w:t>sampel</w:t>
      </w:r>
      <w:proofErr w:type="spellEnd"/>
      <w:r w:rsidR="00546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6BE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546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6BE4" w:rsidRPr="00300EDE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="00546BE4" w:rsidRPr="00300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6BE4" w:rsidRPr="00300EDE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="00546BE4" w:rsidRPr="00300EDE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="00546BE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546BE4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="00546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6BE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546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6BE4"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 w:rsidR="00546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6BE4">
        <w:rPr>
          <w:rFonts w:ascii="Times New Roman" w:eastAsia="Times New Roman" w:hAnsi="Times New Roman" w:cs="Times New Roman"/>
          <w:sz w:val="24"/>
          <w:szCs w:val="24"/>
        </w:rPr>
        <w:t>deskriptif</w:t>
      </w:r>
      <w:proofErr w:type="spellEnd"/>
      <w:r w:rsidR="00546BE4" w:rsidRPr="00300E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46BE4" w:rsidRPr="00300EDE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="00546BE4" w:rsidRPr="00300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6BE4" w:rsidRPr="00300EDE">
        <w:rPr>
          <w:rFonts w:ascii="Times New Roman" w:eastAsia="Times New Roman" w:hAnsi="Times New Roman" w:cs="Times New Roman"/>
          <w:sz w:val="24"/>
          <w:szCs w:val="24"/>
        </w:rPr>
        <w:t>hipotesis</w:t>
      </w:r>
      <w:proofErr w:type="spellEnd"/>
      <w:r w:rsidR="00546BE4" w:rsidRPr="00300E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46BE4">
        <w:rPr>
          <w:rFonts w:ascii="Times New Roman" w:eastAsia="Times New Roman" w:hAnsi="Times New Roman" w:cs="Times New Roman"/>
          <w:sz w:val="24"/>
          <w:szCs w:val="24"/>
        </w:rPr>
        <w:t>diskusi</w:t>
      </w:r>
      <w:proofErr w:type="spellEnd"/>
      <w:r w:rsidR="00546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6BE4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="00546B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46BE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546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6BE4">
        <w:rPr>
          <w:rFonts w:ascii="Times New Roman" w:eastAsia="Times New Roman" w:hAnsi="Times New Roman" w:cs="Times New Roman"/>
          <w:sz w:val="24"/>
          <w:szCs w:val="24"/>
        </w:rPr>
        <w:t>generalisasi</w:t>
      </w:r>
      <w:proofErr w:type="spellEnd"/>
      <w:r w:rsidR="00546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6BE4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="00546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6BE4" w:rsidRPr="00300EDE">
        <w:rPr>
          <w:rFonts w:ascii="Times New Roman" w:eastAsia="Times New Roman" w:hAnsi="Times New Roman" w:cs="Times New Roman"/>
          <w:sz w:val="24"/>
          <w:szCs w:val="24"/>
        </w:rPr>
        <w:t>temuan</w:t>
      </w:r>
      <w:proofErr w:type="spellEnd"/>
      <w:r w:rsidR="00546BE4" w:rsidRPr="00300E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6BE4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FF5F8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546BE4" w:rsidRDefault="00546BE4" w:rsidP="00546BE4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6BE4" w:rsidRPr="00546BE4" w:rsidRDefault="00546BE4" w:rsidP="00546BE4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D57DB">
        <w:rPr>
          <w:rFonts w:ascii="Times New Roman" w:eastAsia="Times New Roman" w:hAnsi="Times New Roman" w:cs="Times New Roman"/>
          <w:b/>
          <w:sz w:val="24"/>
          <w:szCs w:val="24"/>
        </w:rPr>
        <w:t>SIMPULAN</w:t>
      </w:r>
      <w:r w:rsidRPr="0036412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6412C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364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12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64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12C">
        <w:rPr>
          <w:rFonts w:ascii="Times New Roman" w:eastAsia="Times New Roman" w:hAnsi="Times New Roman" w:cs="Times New Roman"/>
          <w:sz w:val="24"/>
          <w:szCs w:val="24"/>
        </w:rPr>
        <w:t>memuat</w:t>
      </w:r>
      <w:proofErr w:type="spellEnd"/>
      <w:r w:rsidRPr="00364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12C">
        <w:rPr>
          <w:rFonts w:ascii="Times New Roman" w:eastAsia="Times New Roman" w:hAnsi="Times New Roman" w:cs="Times New Roman"/>
          <w:sz w:val="24"/>
          <w:szCs w:val="24"/>
        </w:rPr>
        <w:t>simpulan</w:t>
      </w:r>
      <w:proofErr w:type="spellEnd"/>
      <w:r w:rsidRPr="00364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12C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3641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6412C">
        <w:rPr>
          <w:rFonts w:ascii="Times New Roman" w:eastAsia="Times New Roman" w:hAnsi="Times New Roman" w:cs="Times New Roman"/>
          <w:sz w:val="24"/>
          <w:szCs w:val="24"/>
        </w:rPr>
        <w:t>implikasi</w:t>
      </w:r>
      <w:proofErr w:type="spellEnd"/>
      <w:r w:rsidRPr="00364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12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36412C">
        <w:rPr>
          <w:rFonts w:ascii="Times New Roman" w:eastAsia="Times New Roman" w:hAnsi="Times New Roman" w:cs="Times New Roman"/>
          <w:sz w:val="24"/>
          <w:szCs w:val="24"/>
        </w:rPr>
        <w:t xml:space="preserve"> saran </w:t>
      </w:r>
      <w:proofErr w:type="spellStart"/>
      <w:r w:rsidRPr="0036412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64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12C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364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412C">
        <w:rPr>
          <w:rFonts w:ascii="Times New Roman" w:eastAsia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(jika ada)</w:t>
      </w:r>
      <w:r w:rsidRPr="003641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6BE4" w:rsidRDefault="00546BE4" w:rsidP="00546BE4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46BE4" w:rsidRPr="009D57DB" w:rsidRDefault="00546BE4" w:rsidP="00235CE1">
      <w:pPr>
        <w:pStyle w:val="ListParagraph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7DB"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p w:rsidR="00235CE1" w:rsidRPr="00D0362B" w:rsidRDefault="00235CE1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0362B">
        <w:rPr>
          <w:rFonts w:ascii="Times New Roman" w:hAnsi="Times New Roman" w:cs="Times New Roman"/>
          <w:sz w:val="24"/>
          <w:szCs w:val="24"/>
        </w:rPr>
        <w:t>Andayani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, T.D. 2010. </w:t>
      </w:r>
      <w:proofErr w:type="spellStart"/>
      <w:r w:rsidRPr="00D0362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2B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2B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   </w:t>
      </w:r>
      <w:r w:rsidRPr="00D0362B"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 w:rsidRPr="00D0362B">
        <w:rPr>
          <w:rFonts w:ascii="Times New Roman" w:hAnsi="Times New Roman" w:cs="Times New Roman"/>
          <w:sz w:val="24"/>
          <w:szCs w:val="24"/>
        </w:rPr>
        <w:t>omisaris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2B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2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2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2B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362B">
        <w:rPr>
          <w:rFonts w:ascii="Times New Roman" w:hAnsi="Times New Roman" w:cs="Times New Roman"/>
          <w:i/>
          <w:sz w:val="24"/>
          <w:szCs w:val="24"/>
        </w:rPr>
        <w:t>Tesis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 w:rsidRPr="00D0362B"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2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2B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D0362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 Magister </w:t>
      </w:r>
      <w:proofErr w:type="spellStart"/>
      <w:r w:rsidRPr="00D0362B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D0362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35CE1" w:rsidRPr="00D0362B" w:rsidRDefault="00235CE1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35CE1" w:rsidRPr="00D0362B" w:rsidRDefault="00235CE1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proofErr w:type="spellStart"/>
      <w:r w:rsidRPr="00D0362B">
        <w:rPr>
          <w:rFonts w:ascii="Times New Roman" w:hAnsi="Times New Roman" w:cs="Times New Roman"/>
          <w:sz w:val="24"/>
          <w:szCs w:val="24"/>
        </w:rPr>
        <w:t>Badertscher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, B.A. 2011. Overvaluation and the choice of alternative earnings management mechanism. </w:t>
      </w:r>
      <w:r w:rsidRPr="00D0362B">
        <w:rPr>
          <w:rFonts w:ascii="Times New Roman" w:hAnsi="Times New Roman" w:cs="Times New Roman"/>
          <w:i/>
          <w:sz w:val="24"/>
          <w:szCs w:val="24"/>
        </w:rPr>
        <w:t xml:space="preserve">The Accounting Review </w:t>
      </w:r>
      <w:r w:rsidRPr="00DD759B">
        <w:rPr>
          <w:rFonts w:ascii="Times New Roman" w:hAnsi="Times New Roman" w:cs="Times New Roman"/>
          <w:sz w:val="24"/>
          <w:szCs w:val="24"/>
        </w:rPr>
        <w:t>86 (5): 1491-1518.</w:t>
      </w:r>
    </w:p>
    <w:p w:rsidR="00235CE1" w:rsidRPr="00D0362B" w:rsidRDefault="00235CE1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235CE1" w:rsidRDefault="00235CE1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D0362B">
        <w:rPr>
          <w:rFonts w:ascii="Times New Roman" w:hAnsi="Times New Roman" w:cs="Times New Roman"/>
          <w:sz w:val="24"/>
          <w:szCs w:val="24"/>
          <w:u w:val="single"/>
          <w:lang w:val="id-ID"/>
        </w:rPr>
        <w:t xml:space="preserve">                    </w:t>
      </w:r>
      <w:r w:rsidRPr="00D0362B">
        <w:rPr>
          <w:rFonts w:ascii="Times New Roman" w:hAnsi="Times New Roman" w:cs="Times New Roman"/>
          <w:sz w:val="24"/>
          <w:szCs w:val="24"/>
          <w:lang w:val="id-ID"/>
        </w:rPr>
        <w:t>.,</w:t>
      </w:r>
      <w:r w:rsidRPr="00D0362B">
        <w:rPr>
          <w:rFonts w:ascii="Times New Roman" w:hAnsi="Times New Roman" w:cs="Times New Roman"/>
          <w:sz w:val="24"/>
          <w:szCs w:val="24"/>
        </w:rPr>
        <w:t xml:space="preserve"> D.W. Collins</w:t>
      </w:r>
      <w:r w:rsidRPr="00D0362B">
        <w:rPr>
          <w:rFonts w:ascii="Times New Roman" w:hAnsi="Times New Roman" w:cs="Times New Roman"/>
          <w:sz w:val="24"/>
          <w:szCs w:val="24"/>
          <w:lang w:val="id-ID"/>
        </w:rPr>
        <w:t xml:space="preserve">., </w:t>
      </w:r>
      <w:proofErr w:type="gramStart"/>
      <w:r w:rsidRPr="00D0362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0362B">
        <w:rPr>
          <w:rFonts w:ascii="Times New Roman" w:hAnsi="Times New Roman" w:cs="Times New Roman"/>
          <w:sz w:val="24"/>
          <w:szCs w:val="24"/>
        </w:rPr>
        <w:t xml:space="preserve"> T.Z. Lys. 2012. Discretionary accounting choices and the predictive ability of accruals with respect to future cash flows. </w:t>
      </w:r>
      <w:r w:rsidRPr="00D0362B">
        <w:rPr>
          <w:rFonts w:ascii="Times New Roman" w:hAnsi="Times New Roman" w:cs="Times New Roman"/>
          <w:i/>
          <w:sz w:val="24"/>
          <w:szCs w:val="24"/>
        </w:rPr>
        <w:t xml:space="preserve">Journal of Accounting and Economics </w:t>
      </w:r>
      <w:r w:rsidRPr="00DD759B">
        <w:rPr>
          <w:rFonts w:ascii="Times New Roman" w:hAnsi="Times New Roman" w:cs="Times New Roman"/>
          <w:sz w:val="24"/>
          <w:szCs w:val="24"/>
        </w:rPr>
        <w:t>53</w:t>
      </w:r>
      <w:r w:rsidRPr="00DD759B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DD759B">
        <w:rPr>
          <w:rFonts w:ascii="Times New Roman" w:hAnsi="Times New Roman" w:cs="Times New Roman"/>
          <w:sz w:val="24"/>
          <w:szCs w:val="24"/>
        </w:rPr>
        <w:t xml:space="preserve"> 330-352</w:t>
      </w:r>
      <w:r w:rsidRPr="00DD759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14862" w:rsidRPr="00D0362B" w:rsidRDefault="00414862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</w:p>
    <w:p w:rsidR="00235CE1" w:rsidRPr="00D0362B" w:rsidRDefault="00235CE1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0362B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Balsam, S., E. Bartov., and C. Marquardt. 2002. Accruals management, investor sophistication, and equity valuation: evidence from 10-Q filings. </w:t>
      </w:r>
      <w:r w:rsidRPr="00D0362B">
        <w:rPr>
          <w:rFonts w:ascii="Times New Roman" w:hAnsi="Times New Roman" w:cs="Times New Roman"/>
          <w:i/>
          <w:sz w:val="24"/>
          <w:szCs w:val="24"/>
          <w:lang w:val="id-ID"/>
        </w:rPr>
        <w:t xml:space="preserve">Journal of Accounting Research </w:t>
      </w:r>
      <w:r w:rsidRPr="00DD759B">
        <w:rPr>
          <w:rFonts w:ascii="Times New Roman" w:hAnsi="Times New Roman" w:cs="Times New Roman"/>
          <w:sz w:val="24"/>
          <w:szCs w:val="24"/>
          <w:lang w:val="id-ID"/>
        </w:rPr>
        <w:t>40: 987-1012.</w:t>
      </w:r>
    </w:p>
    <w:p w:rsidR="00235CE1" w:rsidRPr="00D0362B" w:rsidRDefault="00235CE1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35CE1" w:rsidRPr="00D0362B" w:rsidRDefault="00235CE1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i/>
          <w:sz w:val="24"/>
          <w:szCs w:val="24"/>
          <w:lang w:val="id-ID"/>
        </w:rPr>
      </w:pPr>
      <w:proofErr w:type="spellStart"/>
      <w:r w:rsidRPr="00D0362B">
        <w:rPr>
          <w:rFonts w:ascii="Times New Roman" w:eastAsia="Calibri" w:hAnsi="Times New Roman" w:cs="Times New Roman"/>
          <w:sz w:val="24"/>
          <w:szCs w:val="24"/>
        </w:rPr>
        <w:t>Beneish</w:t>
      </w:r>
      <w:proofErr w:type="spellEnd"/>
      <w:r w:rsidRPr="00D0362B">
        <w:rPr>
          <w:rFonts w:ascii="Times New Roman" w:eastAsia="Calibri" w:hAnsi="Times New Roman" w:cs="Times New Roman"/>
          <w:sz w:val="24"/>
          <w:szCs w:val="24"/>
        </w:rPr>
        <w:t xml:space="preserve">, D., and M. </w:t>
      </w:r>
      <w:proofErr w:type="spellStart"/>
      <w:r w:rsidRPr="00D0362B">
        <w:rPr>
          <w:rFonts w:ascii="Times New Roman" w:eastAsia="Calibri" w:hAnsi="Times New Roman" w:cs="Times New Roman"/>
          <w:sz w:val="24"/>
          <w:szCs w:val="24"/>
        </w:rPr>
        <w:t>Vargus</w:t>
      </w:r>
      <w:proofErr w:type="spellEnd"/>
      <w:r w:rsidRPr="00D0362B">
        <w:rPr>
          <w:rFonts w:ascii="Times New Roman" w:eastAsia="Calibri" w:hAnsi="Times New Roman" w:cs="Times New Roman"/>
          <w:sz w:val="24"/>
          <w:szCs w:val="24"/>
        </w:rPr>
        <w:t>.  2002. Insider trading, earnings quality and accrual</w:t>
      </w:r>
      <w:r w:rsidRPr="00D0362B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0362B">
        <w:rPr>
          <w:rFonts w:ascii="Times New Roman" w:eastAsia="Calibri" w:hAnsi="Times New Roman" w:cs="Times New Roman"/>
          <w:sz w:val="24"/>
          <w:szCs w:val="24"/>
        </w:rPr>
        <w:t xml:space="preserve">mispricing. </w:t>
      </w:r>
      <w:r w:rsidRPr="00D0362B">
        <w:rPr>
          <w:rFonts w:ascii="Times New Roman" w:eastAsia="Calibri" w:hAnsi="Times New Roman" w:cs="Times New Roman"/>
          <w:i/>
          <w:sz w:val="24"/>
          <w:szCs w:val="24"/>
        </w:rPr>
        <w:t xml:space="preserve">The Accounting Review </w:t>
      </w:r>
      <w:r w:rsidRPr="00DD759B">
        <w:rPr>
          <w:rFonts w:ascii="Times New Roman" w:eastAsia="Calibri" w:hAnsi="Times New Roman" w:cs="Times New Roman"/>
          <w:sz w:val="24"/>
          <w:szCs w:val="24"/>
        </w:rPr>
        <w:t>77, 755–792.</w:t>
      </w:r>
    </w:p>
    <w:p w:rsidR="00235CE1" w:rsidRPr="00D0362B" w:rsidRDefault="00235CE1" w:rsidP="00D0362B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i/>
          <w:sz w:val="24"/>
          <w:szCs w:val="24"/>
          <w:lang w:val="id-ID"/>
        </w:rPr>
      </w:pPr>
    </w:p>
    <w:p w:rsidR="00D0362B" w:rsidRPr="00D0362B" w:rsidRDefault="00D0362B" w:rsidP="00D0362B">
      <w:pPr>
        <w:ind w:left="709" w:hanging="567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Burgstahler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D. and M. Eames. 1998. </w:t>
      </w:r>
      <w:r w:rsidRPr="001A4A6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Management of earnings and analyst forecasts</w:t>
      </w:r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Pr="00D0362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Working</w:t>
      </w:r>
      <w:r w:rsidR="0041486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paper, University of Washington,</w:t>
      </w:r>
      <w:r w:rsidRPr="00D036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Seattle, WA, and Santa Clara University, Santa Clara, CA.</w:t>
      </w:r>
    </w:p>
    <w:p w:rsidR="00D0362B" w:rsidRPr="00D0362B" w:rsidRDefault="00D0362B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Butar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Butar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S. 2013.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Implikasi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regulasi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pasar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modal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terhadap</w:t>
      </w:r>
      <w:proofErr w:type="spellEnd"/>
      <w:r w:rsidRPr="00D036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motif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manajemen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laba</w:t>
      </w:r>
      <w:proofErr w:type="spellEnd"/>
      <w:r w:rsidRPr="00D036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Disertasi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diterbitkan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Universitas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Gadjah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Mada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, Yogyakarta, Indonesia.</w:t>
      </w:r>
    </w:p>
    <w:p w:rsidR="00D0362B" w:rsidRDefault="00D0362B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14862" w:rsidRDefault="00235CE1" w:rsidP="00414862">
      <w:pPr>
        <w:ind w:left="709" w:hanging="709"/>
        <w:rPr>
          <w:rFonts w:ascii="Times New Roman" w:eastAsia="Times New Roman" w:hAnsi="Times New Roman" w:cs="Times New Roman"/>
          <w:sz w:val="27"/>
          <w:szCs w:val="27"/>
          <w:lang w:val="id-ID" w:eastAsia="id-ID"/>
        </w:rPr>
      </w:pPr>
      <w:r w:rsidRPr="00D0362B">
        <w:rPr>
          <w:rFonts w:ascii="Times New Roman" w:hAnsi="Times New Roman" w:cs="Times New Roman"/>
          <w:sz w:val="24"/>
          <w:szCs w:val="24"/>
          <w:lang w:val="id-ID"/>
        </w:rPr>
        <w:t>Gujarati, D.N.</w:t>
      </w:r>
      <w:r w:rsidR="0041486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0362B">
        <w:rPr>
          <w:rFonts w:ascii="Times New Roman" w:hAnsi="Times New Roman" w:cs="Times New Roman"/>
          <w:sz w:val="24"/>
          <w:szCs w:val="24"/>
          <w:lang w:val="id-ID"/>
        </w:rPr>
        <w:t>200</w:t>
      </w:r>
      <w:r w:rsidR="00414862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D0362B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D0362B">
        <w:rPr>
          <w:rFonts w:ascii="Times New Roman" w:hAnsi="Times New Roman" w:cs="Times New Roman"/>
          <w:i/>
          <w:sz w:val="24"/>
          <w:szCs w:val="24"/>
          <w:lang w:val="id-ID"/>
        </w:rPr>
        <w:t>Basic Econometric</w:t>
      </w:r>
      <w:r w:rsidRPr="00D0362B">
        <w:rPr>
          <w:rFonts w:ascii="Times New Roman" w:hAnsi="Times New Roman" w:cs="Times New Roman"/>
          <w:sz w:val="24"/>
          <w:szCs w:val="24"/>
          <w:lang w:val="id-ID"/>
        </w:rPr>
        <w:t xml:space="preserve">. Fourth edition. </w:t>
      </w:r>
      <w:r w:rsidR="00414862">
        <w:rPr>
          <w:rFonts w:ascii="Times New Roman" w:hAnsi="Times New Roman" w:cs="Times New Roman"/>
          <w:sz w:val="24"/>
          <w:szCs w:val="24"/>
          <w:lang w:val="id-ID"/>
        </w:rPr>
        <w:t xml:space="preserve">Diunduh dari </w:t>
      </w:r>
      <w:r w:rsidR="00973BE1">
        <w:fldChar w:fldCharType="begin"/>
      </w:r>
      <w:r w:rsidR="00973BE1">
        <w:instrText>HYPERLINK "http://tocs.ub.uni-mainz.de/pdfs/107610957.pdf"</w:instrText>
      </w:r>
      <w:r w:rsidR="00973BE1">
        <w:fldChar w:fldCharType="separate"/>
      </w:r>
      <w:r w:rsidR="00414862" w:rsidRPr="00B9051A">
        <w:rPr>
          <w:rStyle w:val="Hyperlink"/>
          <w:rFonts w:ascii="Times New Roman" w:eastAsia="Times New Roman" w:hAnsi="Times New Roman" w:cs="Times New Roman"/>
          <w:sz w:val="27"/>
          <w:szCs w:val="27"/>
          <w:lang w:val="id-ID" w:eastAsia="id-ID"/>
        </w:rPr>
        <w:t>http://tocs.ub.uni-mainz.de/pdfs/107610957.pdf</w:t>
      </w:r>
      <w:r w:rsidR="00973BE1">
        <w:fldChar w:fldCharType="end"/>
      </w:r>
    </w:p>
    <w:p w:rsidR="00D0362B" w:rsidRPr="00D0362B" w:rsidRDefault="00D0362B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Ikatan</w:t>
      </w:r>
      <w:proofErr w:type="spellEnd"/>
      <w:r w:rsidR="0041486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d</w:t>
      </w:r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Akuntan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Indonesia</w:t>
      </w:r>
      <w:r w:rsidR="0041486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1994</w:t>
      </w:r>
      <w:r w:rsidR="0041486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proofErr w:type="spellStart"/>
      <w:r w:rsidRPr="001A4A6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Standar</w:t>
      </w:r>
      <w:proofErr w:type="spellEnd"/>
      <w:r w:rsidRPr="001A4A6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Profesional</w:t>
      </w:r>
      <w:proofErr w:type="spellEnd"/>
      <w:r w:rsidRPr="0041486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Akuntan</w:t>
      </w:r>
      <w:proofErr w:type="spellEnd"/>
      <w:r w:rsidRPr="001A4A6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Publik</w:t>
      </w:r>
      <w:proofErr w:type="spellEnd"/>
      <w:r w:rsidR="0041486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. </w:t>
      </w:r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Jakarta,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Devisi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Penerbitan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IAI.</w:t>
      </w:r>
    </w:p>
    <w:p w:rsidR="00D0362B" w:rsidRDefault="00D0362B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35CE1" w:rsidRPr="00D0362B" w:rsidRDefault="00D0362B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0362B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D0362B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. 2004. </w:t>
      </w:r>
      <w:proofErr w:type="spellStart"/>
      <w:r w:rsidRPr="00D0362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 Sarbanes-Oxley Act </w:t>
      </w:r>
      <w:proofErr w:type="spellStart"/>
      <w:r w:rsidRPr="00D0362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2B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62B"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. </w:t>
      </w:r>
      <w:r w:rsidRPr="00D0362B">
        <w:rPr>
          <w:rFonts w:ascii="Times New Roman" w:hAnsi="Times New Roman" w:cs="Times New Roman"/>
          <w:sz w:val="24"/>
          <w:szCs w:val="24"/>
          <w:lang w:val="id-ID"/>
        </w:rPr>
        <w:t xml:space="preserve">Edisi Mei. Diterbitkan oleh </w:t>
      </w:r>
      <w:r w:rsidRPr="00D0362B">
        <w:rPr>
          <w:rFonts w:ascii="Times New Roman" w:hAnsi="Times New Roman" w:cs="Times New Roman"/>
          <w:sz w:val="24"/>
          <w:szCs w:val="24"/>
          <w:lang w:val="fi-FI"/>
        </w:rPr>
        <w:t>PT. Intama Artha Indonesia</w:t>
      </w:r>
      <w:r w:rsidRPr="00D0362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0362B" w:rsidRPr="00D0362B" w:rsidRDefault="00D0362B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0362B" w:rsidRDefault="00D0362B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sz w:val="24"/>
          <w:szCs w:val="24"/>
          <w:lang w:val="fi-FI"/>
        </w:rPr>
      </w:pPr>
      <w:proofErr w:type="spellStart"/>
      <w:r w:rsidRPr="00D0362B">
        <w:rPr>
          <w:rFonts w:ascii="Times New Roman" w:eastAsia="Calibri" w:hAnsi="Times New Roman" w:cs="Times New Roman"/>
          <w:sz w:val="24"/>
          <w:szCs w:val="24"/>
        </w:rPr>
        <w:t>Nasution</w:t>
      </w:r>
      <w:proofErr w:type="spellEnd"/>
      <w:r w:rsidRPr="00D0362B">
        <w:rPr>
          <w:rFonts w:ascii="Times New Roman" w:eastAsia="Calibri" w:hAnsi="Times New Roman" w:cs="Times New Roman"/>
          <w:sz w:val="24"/>
          <w:szCs w:val="24"/>
        </w:rPr>
        <w:t>, M</w:t>
      </w:r>
      <w:r w:rsidRPr="00D0362B">
        <w:rPr>
          <w:rFonts w:ascii="Times New Roman" w:eastAsia="Calibri" w:hAnsi="Times New Roman" w:cs="Times New Roman"/>
          <w:sz w:val="24"/>
          <w:szCs w:val="24"/>
          <w:lang w:val="id-ID"/>
        </w:rPr>
        <w:t>.,</w:t>
      </w:r>
      <w:r w:rsidRPr="00D036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362B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D036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362B">
        <w:rPr>
          <w:rFonts w:ascii="Times New Roman" w:eastAsia="Calibri" w:hAnsi="Times New Roman" w:cs="Times New Roman"/>
          <w:sz w:val="24"/>
          <w:szCs w:val="24"/>
        </w:rPr>
        <w:t>Setiawan</w:t>
      </w:r>
      <w:proofErr w:type="spellEnd"/>
      <w:r w:rsidRPr="00D036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D0362B">
        <w:rPr>
          <w:rFonts w:ascii="Times New Roman" w:eastAsia="Calibri" w:hAnsi="Times New Roman" w:cs="Times New Roman"/>
          <w:sz w:val="24"/>
          <w:szCs w:val="24"/>
        </w:rPr>
        <w:t>D .</w:t>
      </w:r>
      <w:proofErr w:type="gramEnd"/>
      <w:r w:rsidRPr="00D0362B">
        <w:rPr>
          <w:rFonts w:ascii="Times New Roman" w:eastAsia="Calibri" w:hAnsi="Times New Roman" w:cs="Times New Roman"/>
          <w:sz w:val="24"/>
          <w:szCs w:val="24"/>
        </w:rPr>
        <w:t xml:space="preserve"> 2007. </w:t>
      </w:r>
      <w:proofErr w:type="spellStart"/>
      <w:r w:rsidRPr="00D0362B">
        <w:rPr>
          <w:rFonts w:ascii="Times New Roman" w:eastAsia="Calibri" w:hAnsi="Times New Roman" w:cs="Times New Roman"/>
          <w:sz w:val="24"/>
          <w:szCs w:val="24"/>
        </w:rPr>
        <w:t>Pengaruh</w:t>
      </w:r>
      <w:proofErr w:type="spellEnd"/>
      <w:r w:rsidRPr="00D0362B">
        <w:rPr>
          <w:rFonts w:ascii="Times New Roman" w:eastAsia="Calibri" w:hAnsi="Times New Roman" w:cs="Times New Roman"/>
          <w:sz w:val="24"/>
          <w:szCs w:val="24"/>
        </w:rPr>
        <w:t xml:space="preserve"> Corporate Governance </w:t>
      </w:r>
      <w:proofErr w:type="spellStart"/>
      <w:r w:rsidRPr="00D0362B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D036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362B">
        <w:rPr>
          <w:rFonts w:ascii="Times New Roman" w:eastAsia="Calibri" w:hAnsi="Times New Roman" w:cs="Times New Roman"/>
          <w:sz w:val="24"/>
          <w:szCs w:val="24"/>
        </w:rPr>
        <w:t>Manajemen</w:t>
      </w:r>
      <w:proofErr w:type="spellEnd"/>
      <w:r w:rsidRPr="00D036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362B">
        <w:rPr>
          <w:rFonts w:ascii="Times New Roman" w:eastAsia="Calibri" w:hAnsi="Times New Roman" w:cs="Times New Roman"/>
          <w:sz w:val="24"/>
          <w:szCs w:val="24"/>
        </w:rPr>
        <w:t>Laba</w:t>
      </w:r>
      <w:proofErr w:type="spellEnd"/>
      <w:r w:rsidRPr="00D0362B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D0362B">
        <w:rPr>
          <w:rFonts w:ascii="Times New Roman" w:eastAsia="Calibri" w:hAnsi="Times New Roman" w:cs="Times New Roman"/>
          <w:sz w:val="24"/>
          <w:szCs w:val="24"/>
        </w:rPr>
        <w:t>Industri</w:t>
      </w:r>
      <w:proofErr w:type="spellEnd"/>
      <w:r w:rsidRPr="00D036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362B">
        <w:rPr>
          <w:rFonts w:ascii="Times New Roman" w:eastAsia="Calibri" w:hAnsi="Times New Roman" w:cs="Times New Roman"/>
          <w:sz w:val="24"/>
          <w:szCs w:val="24"/>
        </w:rPr>
        <w:t>perbankan</w:t>
      </w:r>
      <w:proofErr w:type="spellEnd"/>
      <w:r w:rsidRPr="00D0362B">
        <w:rPr>
          <w:rFonts w:ascii="Times New Roman" w:eastAsia="Calibri" w:hAnsi="Times New Roman" w:cs="Times New Roman"/>
          <w:sz w:val="24"/>
          <w:szCs w:val="24"/>
        </w:rPr>
        <w:t xml:space="preserve"> Indonesia. </w:t>
      </w:r>
      <w:r w:rsidRPr="00D0362B">
        <w:rPr>
          <w:rFonts w:ascii="Times New Roman" w:eastAsia="Calibri" w:hAnsi="Times New Roman" w:cs="Times New Roman"/>
          <w:i/>
          <w:iCs/>
          <w:sz w:val="24"/>
          <w:szCs w:val="24"/>
          <w:lang w:val="fi-FI"/>
        </w:rPr>
        <w:t xml:space="preserve">Simposium NasionalAkuntansi </w:t>
      </w:r>
      <w:r w:rsidRPr="00D0362B">
        <w:rPr>
          <w:rFonts w:ascii="Times New Roman" w:eastAsia="Calibri" w:hAnsi="Times New Roman" w:cs="Times New Roman"/>
          <w:sz w:val="24"/>
          <w:szCs w:val="24"/>
          <w:lang w:val="fi-FI"/>
        </w:rPr>
        <w:t>X, Makasar, 26-28 Juli 2007.</w:t>
      </w:r>
    </w:p>
    <w:p w:rsidR="00DD759B" w:rsidRPr="00D0362B" w:rsidRDefault="00DD759B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14862" w:rsidRPr="00414862" w:rsidRDefault="00414862" w:rsidP="00414862">
      <w:pPr>
        <w:spacing w:after="0" w:line="240" w:lineRule="auto"/>
        <w:ind w:left="851" w:hanging="709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414862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Perdana, P. 2016. 27 Oktober. Agar tanda tangan tak mudah dipalsukan. Kompas, hal. 2. </w:t>
      </w:r>
    </w:p>
    <w:p w:rsidR="00414862" w:rsidRPr="00414862" w:rsidRDefault="00414862" w:rsidP="00414862">
      <w:pPr>
        <w:ind w:left="851" w:hanging="709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D0362B" w:rsidRPr="00D0362B" w:rsidRDefault="00D0362B" w:rsidP="00414862">
      <w:pPr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Putri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A.W. 2015.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Hindari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salah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kaprah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terkait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revaluasi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aset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Diakses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27</w:t>
      </w:r>
      <w:r w:rsidRPr="00D0362B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Oktober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2016,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D036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hyperlink r:id="rId5" w:history="1">
        <w:r w:rsidRPr="00D0362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http://swa.co.id/swa/trends/business-research/</w:t>
        </w:r>
      </w:hyperlink>
    </w:p>
    <w:p w:rsidR="00D0362B" w:rsidRPr="00D0362B" w:rsidRDefault="00D0362B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D0362B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Siregar, </w:t>
      </w:r>
      <w:r w:rsidRPr="00D0362B">
        <w:rPr>
          <w:rFonts w:ascii="Times New Roman" w:eastAsia="Calibri" w:hAnsi="Times New Roman" w:cs="Times New Roman"/>
          <w:sz w:val="24"/>
          <w:szCs w:val="24"/>
        </w:rPr>
        <w:t>V</w:t>
      </w:r>
      <w:r w:rsidRPr="00D0362B">
        <w:rPr>
          <w:rFonts w:ascii="Times New Roman" w:eastAsia="Calibri" w:hAnsi="Times New Roman" w:cs="Times New Roman"/>
          <w:sz w:val="24"/>
          <w:szCs w:val="24"/>
          <w:lang w:val="id-ID"/>
        </w:rPr>
        <w:t>.,</w:t>
      </w:r>
      <w:r w:rsidRPr="00D036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362B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D036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362B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Y. </w:t>
      </w:r>
      <w:proofErr w:type="spellStart"/>
      <w:r w:rsidRPr="00D0362B">
        <w:rPr>
          <w:rFonts w:ascii="Times New Roman" w:eastAsia="Calibri" w:hAnsi="Times New Roman" w:cs="Times New Roman"/>
          <w:sz w:val="24"/>
          <w:szCs w:val="24"/>
        </w:rPr>
        <w:t>Bachtiar</w:t>
      </w:r>
      <w:proofErr w:type="spellEnd"/>
      <w:r w:rsidRPr="00D0362B">
        <w:rPr>
          <w:rFonts w:ascii="Times New Roman" w:eastAsia="Calibri" w:hAnsi="Times New Roman" w:cs="Times New Roman"/>
          <w:sz w:val="24"/>
          <w:szCs w:val="24"/>
        </w:rPr>
        <w:t>. 2004</w:t>
      </w:r>
      <w:proofErr w:type="gramStart"/>
      <w:r w:rsidRPr="00D0362B">
        <w:rPr>
          <w:rFonts w:ascii="Times New Roman" w:eastAsia="Calibri" w:hAnsi="Times New Roman" w:cs="Times New Roman"/>
          <w:sz w:val="24"/>
          <w:szCs w:val="24"/>
        </w:rPr>
        <w:t>.Good</w:t>
      </w:r>
      <w:proofErr w:type="gramEnd"/>
      <w:r w:rsidRPr="00D0362B">
        <w:rPr>
          <w:rFonts w:ascii="Times New Roman" w:eastAsia="Calibri" w:hAnsi="Times New Roman" w:cs="Times New Roman"/>
          <w:sz w:val="24"/>
          <w:szCs w:val="24"/>
        </w:rPr>
        <w:t xml:space="preserve"> Corporate Governance</w:t>
      </w:r>
      <w:r w:rsidRPr="00D0362B">
        <w:rPr>
          <w:rFonts w:ascii="Times New Roman" w:eastAsia="Calibri" w:hAnsi="Times New Roman" w:cs="Times New Roman"/>
          <w:sz w:val="24"/>
          <w:szCs w:val="24"/>
          <w:lang w:val="id-ID"/>
        </w:rPr>
        <w:t>,</w:t>
      </w:r>
      <w:r w:rsidRPr="00D0362B">
        <w:rPr>
          <w:rFonts w:ascii="Times New Roman" w:eastAsia="Calibri" w:hAnsi="Times New Roman" w:cs="Times New Roman"/>
          <w:sz w:val="24"/>
          <w:szCs w:val="24"/>
        </w:rPr>
        <w:t xml:space="preserve"> Information </w:t>
      </w:r>
      <w:proofErr w:type="spellStart"/>
      <w:r w:rsidRPr="00D0362B">
        <w:rPr>
          <w:rFonts w:ascii="Times New Roman" w:eastAsia="Calibri" w:hAnsi="Times New Roman" w:cs="Times New Roman"/>
          <w:sz w:val="24"/>
          <w:szCs w:val="24"/>
        </w:rPr>
        <w:t>Asymetry</w:t>
      </w:r>
      <w:proofErr w:type="spellEnd"/>
      <w:r w:rsidRPr="00D0362B">
        <w:rPr>
          <w:rFonts w:ascii="Times New Roman" w:eastAsia="Calibri" w:hAnsi="Times New Roman" w:cs="Times New Roman"/>
          <w:sz w:val="24"/>
          <w:szCs w:val="24"/>
        </w:rPr>
        <w:t xml:space="preserve"> and Earnings Management.</w:t>
      </w:r>
      <w:r w:rsidRPr="00D0362B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0362B">
        <w:rPr>
          <w:rFonts w:ascii="Times New Roman" w:eastAsia="Calibri" w:hAnsi="Times New Roman" w:cs="Times New Roman"/>
          <w:i/>
          <w:iCs/>
          <w:sz w:val="24"/>
          <w:szCs w:val="24"/>
        </w:rPr>
        <w:t>Simposium</w:t>
      </w:r>
      <w:proofErr w:type="spellEnd"/>
      <w:r w:rsidRPr="00D036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362B">
        <w:rPr>
          <w:rFonts w:ascii="Times New Roman" w:eastAsia="Calibri" w:hAnsi="Times New Roman" w:cs="Times New Roman"/>
          <w:i/>
          <w:iCs/>
          <w:sz w:val="24"/>
          <w:szCs w:val="24"/>
        </w:rPr>
        <w:t>Nasional</w:t>
      </w:r>
      <w:proofErr w:type="spellEnd"/>
      <w:r w:rsidRPr="00D036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362B">
        <w:rPr>
          <w:rFonts w:ascii="Times New Roman" w:eastAsia="Calibri" w:hAnsi="Times New Roman" w:cs="Times New Roman"/>
          <w:i/>
          <w:iCs/>
          <w:sz w:val="24"/>
          <w:szCs w:val="24"/>
        </w:rPr>
        <w:t>Akuntansi</w:t>
      </w:r>
      <w:proofErr w:type="spellEnd"/>
      <w:r w:rsidRPr="00D036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D0362B">
        <w:rPr>
          <w:rFonts w:ascii="Times New Roman" w:eastAsia="Calibri" w:hAnsi="Times New Roman" w:cs="Times New Roman"/>
          <w:sz w:val="24"/>
          <w:szCs w:val="24"/>
        </w:rPr>
        <w:t xml:space="preserve">VII, Denpasar, 2 -3 </w:t>
      </w:r>
      <w:proofErr w:type="spellStart"/>
      <w:r w:rsidRPr="00D0362B">
        <w:rPr>
          <w:rFonts w:ascii="Times New Roman" w:eastAsia="Calibri" w:hAnsi="Times New Roman" w:cs="Times New Roman"/>
          <w:sz w:val="24"/>
          <w:szCs w:val="24"/>
        </w:rPr>
        <w:t>Desember</w:t>
      </w:r>
      <w:proofErr w:type="spellEnd"/>
      <w:r w:rsidRPr="00D0362B">
        <w:rPr>
          <w:rFonts w:ascii="Times New Roman" w:eastAsia="Calibri" w:hAnsi="Times New Roman" w:cs="Times New Roman"/>
          <w:sz w:val="24"/>
          <w:szCs w:val="24"/>
        </w:rPr>
        <w:t xml:space="preserve"> 2004.</w:t>
      </w:r>
    </w:p>
    <w:p w:rsidR="00D0362B" w:rsidRPr="00414862" w:rsidRDefault="00D0362B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14862" w:rsidRPr="00DD759B" w:rsidRDefault="00414862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Siringoringo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L.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D.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Putriadita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. 2016</w:t>
      </w:r>
      <w:proofErr w:type="gram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.Ada</w:t>
      </w:r>
      <w:proofErr w:type="gram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apa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saham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Kimia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Farma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?</w:t>
      </w:r>
      <w:r w:rsidRPr="0041486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Kontan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hal</w:t>
      </w:r>
      <w:proofErr w:type="spellEnd"/>
      <w:r w:rsidRPr="001A4A65">
        <w:rPr>
          <w:rFonts w:ascii="Times New Roman" w:eastAsia="Times New Roman" w:hAnsi="Times New Roman" w:cs="Times New Roman"/>
          <w:sz w:val="24"/>
          <w:szCs w:val="24"/>
          <w:lang w:eastAsia="id-ID"/>
        </w:rPr>
        <w:t>. 13</w:t>
      </w:r>
      <w:r w:rsidR="00DD759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</w:t>
      </w:r>
    </w:p>
    <w:p w:rsidR="00414862" w:rsidRDefault="00414862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0362B" w:rsidRDefault="00D0362B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lang w:val="id-ID"/>
        </w:rPr>
      </w:pPr>
      <w:r w:rsidRPr="00D0362B">
        <w:rPr>
          <w:rFonts w:ascii="Times New Roman" w:hAnsi="Times New Roman" w:cs="Times New Roman"/>
          <w:sz w:val="24"/>
          <w:szCs w:val="24"/>
        </w:rPr>
        <w:t xml:space="preserve">Watts, R., and J. Zimmerman. 1986. </w:t>
      </w:r>
      <w:r w:rsidRPr="00D0362B">
        <w:rPr>
          <w:rFonts w:ascii="Times New Roman" w:hAnsi="Times New Roman" w:cs="Times New Roman"/>
          <w:i/>
          <w:sz w:val="24"/>
          <w:szCs w:val="24"/>
        </w:rPr>
        <w:t xml:space="preserve">Positive </w:t>
      </w:r>
      <w:r w:rsidRPr="00D0362B"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proofErr w:type="spellStart"/>
      <w:r w:rsidRPr="00D0362B">
        <w:rPr>
          <w:rFonts w:ascii="Times New Roman" w:hAnsi="Times New Roman" w:cs="Times New Roman"/>
          <w:i/>
          <w:sz w:val="24"/>
          <w:szCs w:val="24"/>
        </w:rPr>
        <w:t>ccounting</w:t>
      </w:r>
      <w:proofErr w:type="spellEnd"/>
      <w:r w:rsidRPr="00D036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362B">
        <w:rPr>
          <w:rFonts w:ascii="Times New Roman" w:hAnsi="Times New Roman" w:cs="Times New Roman"/>
          <w:i/>
          <w:sz w:val="24"/>
          <w:szCs w:val="24"/>
          <w:lang w:val="id-ID"/>
        </w:rPr>
        <w:t>T</w:t>
      </w:r>
      <w:proofErr w:type="spellStart"/>
      <w:r w:rsidRPr="00D0362B">
        <w:rPr>
          <w:rFonts w:ascii="Times New Roman" w:hAnsi="Times New Roman" w:cs="Times New Roman"/>
          <w:i/>
          <w:sz w:val="24"/>
          <w:szCs w:val="24"/>
        </w:rPr>
        <w:t>heory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362B">
        <w:rPr>
          <w:rFonts w:ascii="Times New Roman" w:hAnsi="Times New Roman" w:cs="Times New Roman"/>
          <w:sz w:val="24"/>
          <w:szCs w:val="24"/>
        </w:rPr>
        <w:t>Engelwood</w:t>
      </w:r>
      <w:proofErr w:type="spellEnd"/>
      <w:r w:rsidRPr="00D0362B">
        <w:rPr>
          <w:rFonts w:ascii="Times New Roman" w:hAnsi="Times New Roman" w:cs="Times New Roman"/>
          <w:sz w:val="24"/>
          <w:szCs w:val="24"/>
        </w:rPr>
        <w:t xml:space="preserve"> Cliffs, NJ: Prentice Hall</w:t>
      </w:r>
      <w:r w:rsidRPr="00D0362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0362B" w:rsidRDefault="00D0362B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lang w:val="id-ID"/>
        </w:rPr>
      </w:pPr>
    </w:p>
    <w:p w:rsidR="00D0362B" w:rsidRPr="00D0362B" w:rsidRDefault="00D0362B" w:rsidP="00235CE1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NewRoman" w:hAnsi="Times New Roman"/>
          <w:iCs/>
          <w:sz w:val="24"/>
          <w:szCs w:val="24"/>
          <w:lang w:val="id-ID"/>
        </w:rPr>
      </w:pPr>
    </w:p>
    <w:p w:rsidR="00546BE4" w:rsidRPr="00546BE4" w:rsidRDefault="00546BE4" w:rsidP="00546BE4">
      <w:pPr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546BE4" w:rsidRPr="00546BE4" w:rsidSect="006E2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F1989"/>
    <w:multiLevelType w:val="hybridMultilevel"/>
    <w:tmpl w:val="9E12C27A"/>
    <w:lvl w:ilvl="0" w:tplc="5130EF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DD4B61"/>
    <w:multiLevelType w:val="multilevel"/>
    <w:tmpl w:val="2B827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4A12"/>
    <w:rsid w:val="001D4A12"/>
    <w:rsid w:val="00235CE1"/>
    <w:rsid w:val="003272E4"/>
    <w:rsid w:val="003844C4"/>
    <w:rsid w:val="00414862"/>
    <w:rsid w:val="004E370E"/>
    <w:rsid w:val="004F567C"/>
    <w:rsid w:val="00546BE4"/>
    <w:rsid w:val="00566ACF"/>
    <w:rsid w:val="00573DB2"/>
    <w:rsid w:val="006E2A87"/>
    <w:rsid w:val="008A487C"/>
    <w:rsid w:val="008C7520"/>
    <w:rsid w:val="00973BE1"/>
    <w:rsid w:val="00CB3C3A"/>
    <w:rsid w:val="00D0362B"/>
    <w:rsid w:val="00DD759B"/>
    <w:rsid w:val="00F66CC4"/>
    <w:rsid w:val="00FA6B5C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0ABC2-667B-462D-8AFF-ACA0F2A3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A12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8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wa.co.id/swa/trends/business-resear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P3A FEB</cp:lastModifiedBy>
  <cp:revision>2</cp:revision>
  <dcterms:created xsi:type="dcterms:W3CDTF">2019-10-28T05:11:00Z</dcterms:created>
  <dcterms:modified xsi:type="dcterms:W3CDTF">2019-10-28T05:11:00Z</dcterms:modified>
</cp:coreProperties>
</file>