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8F" w:rsidRDefault="00DB1C8F" w:rsidP="00F93F31">
      <w:pPr>
        <w:rPr>
          <w:sz w:val="24"/>
          <w:szCs w:val="24"/>
        </w:rPr>
      </w:pPr>
    </w:p>
    <w:p w:rsidR="00DB1C8F" w:rsidRDefault="00DF0694" w:rsidP="00F93F31">
      <w:pPr>
        <w:ind w:left="881" w:right="451" w:firstLine="2"/>
        <w:jc w:val="center"/>
        <w:rPr>
          <w:sz w:val="28"/>
          <w:szCs w:val="28"/>
        </w:rPr>
      </w:pPr>
      <w:r>
        <w:rPr>
          <w:b/>
          <w:sz w:val="28"/>
          <w:szCs w:val="28"/>
        </w:rPr>
        <w:t>Literasi Keuangan dan Keputusan untuk Berkonsultasi dengan P</w:t>
      </w:r>
      <w:r w:rsidRPr="00A62101">
        <w:rPr>
          <w:b/>
          <w:sz w:val="28"/>
          <w:szCs w:val="28"/>
        </w:rPr>
        <w:t>rofesional</w:t>
      </w:r>
    </w:p>
    <w:p w:rsidR="00DB1C8F" w:rsidRDefault="00DB1C8F" w:rsidP="00F93F31">
      <w:pPr>
        <w:rPr>
          <w:sz w:val="17"/>
          <w:szCs w:val="17"/>
        </w:rPr>
      </w:pPr>
    </w:p>
    <w:p w:rsidR="00A62101" w:rsidRPr="003B7E30" w:rsidRDefault="00595F9C" w:rsidP="00A62101">
      <w:pPr>
        <w:jc w:val="center"/>
        <w:rPr>
          <w:b/>
          <w:sz w:val="24"/>
        </w:rPr>
      </w:pPr>
      <w:r>
        <w:rPr>
          <w:b/>
          <w:sz w:val="24"/>
        </w:rPr>
        <w:t>Shresta Purnamasa</w:t>
      </w:r>
      <w:r w:rsidR="00A62101" w:rsidRPr="003B7E30">
        <w:rPr>
          <w:b/>
          <w:sz w:val="24"/>
        </w:rPr>
        <w:t>ri</w:t>
      </w:r>
    </w:p>
    <w:p w:rsidR="00A62101" w:rsidRDefault="00A62101" w:rsidP="00DF0694">
      <w:pPr>
        <w:jc w:val="center"/>
        <w:rPr>
          <w:rStyle w:val="Hyperlink"/>
          <w:rFonts w:eastAsiaTheme="majorEastAsia"/>
          <w:sz w:val="24"/>
        </w:rPr>
      </w:pPr>
      <w:r w:rsidRPr="00957AC4">
        <w:rPr>
          <w:rFonts w:eastAsiaTheme="majorEastAsia"/>
          <w:sz w:val="24"/>
        </w:rPr>
        <w:t>shresta@u</w:t>
      </w:r>
      <w:bookmarkStart w:id="0" w:name="_GoBack"/>
      <w:bookmarkEnd w:id="0"/>
      <w:r w:rsidRPr="00957AC4">
        <w:rPr>
          <w:rFonts w:eastAsiaTheme="majorEastAsia"/>
          <w:sz w:val="24"/>
        </w:rPr>
        <w:t>nika.ac.id</w:t>
      </w:r>
      <w:r>
        <w:rPr>
          <w:rStyle w:val="Hyperlink"/>
          <w:rFonts w:eastAsiaTheme="majorEastAsia"/>
          <w:sz w:val="24"/>
        </w:rPr>
        <w:t xml:space="preserve"> </w:t>
      </w:r>
    </w:p>
    <w:p w:rsidR="00A62101" w:rsidRPr="003B7E30" w:rsidRDefault="00DF0694" w:rsidP="00DF0694">
      <w:pPr>
        <w:jc w:val="center"/>
        <w:rPr>
          <w:sz w:val="24"/>
        </w:rPr>
      </w:pPr>
      <w:r>
        <w:rPr>
          <w:sz w:val="24"/>
        </w:rPr>
        <w:t xml:space="preserve">Fakultas Ekonomi dan Bisnis </w:t>
      </w:r>
      <w:r w:rsidR="00A62101" w:rsidRPr="003B7E30">
        <w:rPr>
          <w:sz w:val="24"/>
        </w:rPr>
        <w:t>Universitas Katolik Soegijapranata</w:t>
      </w:r>
    </w:p>
    <w:p w:rsidR="00DB1C8F" w:rsidRDefault="00DB1C8F" w:rsidP="00DF0694">
      <w:pPr>
        <w:rPr>
          <w:sz w:val="10"/>
          <w:szCs w:val="10"/>
        </w:rPr>
      </w:pPr>
    </w:p>
    <w:p w:rsidR="00A62101" w:rsidRDefault="00A62101" w:rsidP="00DF0694">
      <w:pPr>
        <w:rPr>
          <w:sz w:val="10"/>
          <w:szCs w:val="10"/>
        </w:rPr>
      </w:pPr>
      <w:r>
        <w:rPr>
          <w:sz w:val="10"/>
          <w:szCs w:val="10"/>
        </w:rPr>
        <w:t>\</w:t>
      </w:r>
    </w:p>
    <w:p w:rsidR="009354B0" w:rsidRPr="009354B0" w:rsidRDefault="008254BB" w:rsidP="00DF0694">
      <w:pPr>
        <w:ind w:right="31"/>
        <w:jc w:val="both"/>
        <w:rPr>
          <w:i/>
          <w:spacing w:val="-6"/>
          <w:sz w:val="24"/>
          <w:szCs w:val="24"/>
        </w:rPr>
      </w:pPr>
      <w:r w:rsidRPr="006D55BB">
        <w:rPr>
          <w:b/>
          <w:i/>
          <w:sz w:val="24"/>
          <w:szCs w:val="24"/>
        </w:rPr>
        <w:t>Abstract</w:t>
      </w:r>
      <w:r w:rsidR="00C9706F">
        <w:rPr>
          <w:b/>
          <w:i/>
          <w:sz w:val="24"/>
          <w:szCs w:val="24"/>
        </w:rPr>
        <w:t xml:space="preserve"> </w:t>
      </w:r>
      <w:r w:rsidRPr="006D55BB">
        <w:rPr>
          <w:i/>
          <w:w w:val="79"/>
          <w:sz w:val="24"/>
          <w:szCs w:val="24"/>
        </w:rPr>
        <w:t>:</w:t>
      </w:r>
      <w:r w:rsidRPr="006D55BB">
        <w:rPr>
          <w:i/>
          <w:spacing w:val="-6"/>
          <w:sz w:val="24"/>
          <w:szCs w:val="24"/>
        </w:rPr>
        <w:t xml:space="preserve"> </w:t>
      </w:r>
      <w:r w:rsidR="009354B0" w:rsidRPr="009354B0">
        <w:rPr>
          <w:i/>
          <w:spacing w:val="-6"/>
          <w:sz w:val="24"/>
          <w:szCs w:val="24"/>
        </w:rPr>
        <w:t>Previous literature</w:t>
      </w:r>
      <w:r w:rsidR="00DF0694">
        <w:rPr>
          <w:i/>
          <w:spacing w:val="-6"/>
          <w:sz w:val="24"/>
          <w:szCs w:val="24"/>
        </w:rPr>
        <w:t>s</w:t>
      </w:r>
      <w:r w:rsidR="009354B0" w:rsidRPr="009354B0">
        <w:rPr>
          <w:i/>
          <w:spacing w:val="-6"/>
          <w:sz w:val="24"/>
          <w:szCs w:val="24"/>
        </w:rPr>
        <w:t xml:space="preserve"> show</w:t>
      </w:r>
      <w:r w:rsidR="00DF0694">
        <w:rPr>
          <w:i/>
          <w:spacing w:val="-6"/>
          <w:sz w:val="24"/>
          <w:szCs w:val="24"/>
        </w:rPr>
        <w:t>ed that financial literacy wa</w:t>
      </w:r>
      <w:r w:rsidR="009354B0" w:rsidRPr="009354B0">
        <w:rPr>
          <w:i/>
          <w:spacing w:val="-6"/>
          <w:sz w:val="24"/>
          <w:szCs w:val="24"/>
        </w:rPr>
        <w:t xml:space="preserve">s a determining factor for an individual's decision to consult with professionals. However, the relationship between the two may be simultaneous, so the estimation method of causality testing has been imprecise. The respondents from this study were 115 students </w:t>
      </w:r>
      <w:r w:rsidR="00DF0694">
        <w:rPr>
          <w:i/>
          <w:spacing w:val="-6"/>
          <w:sz w:val="24"/>
          <w:szCs w:val="24"/>
        </w:rPr>
        <w:t>of Masters of Management degree of</w:t>
      </w:r>
      <w:r w:rsidR="009354B0" w:rsidRPr="009354B0">
        <w:rPr>
          <w:i/>
          <w:spacing w:val="-6"/>
          <w:sz w:val="24"/>
          <w:szCs w:val="24"/>
        </w:rPr>
        <w:t xml:space="preserve"> Gadjah Mada</w:t>
      </w:r>
      <w:r w:rsidR="00DF0694">
        <w:rPr>
          <w:i/>
          <w:spacing w:val="-6"/>
          <w:sz w:val="24"/>
          <w:szCs w:val="24"/>
        </w:rPr>
        <w:t xml:space="preserve"> University</w:t>
      </w:r>
      <w:r w:rsidR="009354B0" w:rsidRPr="009354B0">
        <w:rPr>
          <w:i/>
          <w:spacing w:val="-6"/>
          <w:sz w:val="24"/>
          <w:szCs w:val="24"/>
        </w:rPr>
        <w:t xml:space="preserve">, specific on Executive Class in Jakarta. This study found that there </w:t>
      </w:r>
      <w:r w:rsidR="00DF0694">
        <w:rPr>
          <w:i/>
          <w:spacing w:val="-6"/>
          <w:sz w:val="24"/>
          <w:szCs w:val="24"/>
        </w:rPr>
        <w:t>wa</w:t>
      </w:r>
      <w:r w:rsidR="009354B0" w:rsidRPr="009354B0">
        <w:rPr>
          <w:i/>
          <w:spacing w:val="-6"/>
          <w:sz w:val="24"/>
          <w:szCs w:val="24"/>
        </w:rPr>
        <w:t xml:space="preserve">s a simultaneous relationship between financial literacy and consultation decisions. </w:t>
      </w:r>
      <w:r w:rsidR="00DF0694">
        <w:rPr>
          <w:i/>
          <w:spacing w:val="-6"/>
          <w:sz w:val="24"/>
          <w:szCs w:val="24"/>
        </w:rPr>
        <w:t>Furthermore, causality testing wa</w:t>
      </w:r>
      <w:r w:rsidR="009354B0" w:rsidRPr="009354B0">
        <w:rPr>
          <w:i/>
          <w:spacing w:val="-6"/>
          <w:sz w:val="24"/>
          <w:szCs w:val="24"/>
        </w:rPr>
        <w:t>s carried out using the Control Function e</w:t>
      </w:r>
      <w:r w:rsidR="00DF0694">
        <w:rPr>
          <w:i/>
          <w:spacing w:val="-6"/>
          <w:sz w:val="24"/>
          <w:szCs w:val="24"/>
        </w:rPr>
        <w:t>stimation method, which contained</w:t>
      </w:r>
      <w:r w:rsidR="009354B0" w:rsidRPr="009354B0">
        <w:rPr>
          <w:i/>
          <w:spacing w:val="-6"/>
          <w:sz w:val="24"/>
          <w:szCs w:val="24"/>
        </w:rPr>
        <w:t xml:space="preserve"> instrumental variables in the form of family economic shocks that ha</w:t>
      </w:r>
      <w:r w:rsidR="00DF0694">
        <w:rPr>
          <w:i/>
          <w:spacing w:val="-6"/>
          <w:sz w:val="24"/>
          <w:szCs w:val="24"/>
        </w:rPr>
        <w:t>d</w:t>
      </w:r>
      <w:r w:rsidR="009354B0" w:rsidRPr="009354B0">
        <w:rPr>
          <w:i/>
          <w:spacing w:val="-6"/>
          <w:sz w:val="24"/>
          <w:szCs w:val="24"/>
        </w:rPr>
        <w:t xml:space="preserve"> been experienced in the last twenty</w:t>
      </w:r>
      <w:r w:rsidR="00DF0694">
        <w:rPr>
          <w:i/>
          <w:spacing w:val="-6"/>
          <w:sz w:val="24"/>
          <w:szCs w:val="24"/>
        </w:rPr>
        <w:t xml:space="preserve"> years. This estimation method wa</w:t>
      </w:r>
      <w:r w:rsidR="009354B0" w:rsidRPr="009354B0">
        <w:rPr>
          <w:i/>
          <w:spacing w:val="-6"/>
          <w:sz w:val="24"/>
          <w:szCs w:val="24"/>
        </w:rPr>
        <w:t>s useful to avoid endogeneity probl</w:t>
      </w:r>
      <w:r w:rsidR="00DF0694">
        <w:rPr>
          <w:i/>
          <w:spacing w:val="-6"/>
          <w:sz w:val="24"/>
          <w:szCs w:val="24"/>
        </w:rPr>
        <w:t>ems. The finding of this study wa</w:t>
      </w:r>
      <w:r w:rsidR="009354B0" w:rsidRPr="009354B0">
        <w:rPr>
          <w:i/>
          <w:spacing w:val="-6"/>
          <w:sz w:val="24"/>
          <w:szCs w:val="24"/>
        </w:rPr>
        <w:t>s instrumented financial literacy significantly increase</w:t>
      </w:r>
      <w:r w:rsidR="00DF0694">
        <w:rPr>
          <w:i/>
          <w:spacing w:val="-6"/>
          <w:sz w:val="24"/>
          <w:szCs w:val="24"/>
        </w:rPr>
        <w:t>d</w:t>
      </w:r>
      <w:r w:rsidR="009354B0" w:rsidRPr="009354B0">
        <w:rPr>
          <w:i/>
          <w:spacing w:val="-6"/>
          <w:sz w:val="24"/>
          <w:szCs w:val="24"/>
        </w:rPr>
        <w:t xml:space="preserve"> the probability of individuals to consult with professionals. Apart from the real benefits of consulting with professionals or level of professionality, a personal financial education model can be an alternative financial education that can be done by stakeholders.</w:t>
      </w:r>
    </w:p>
    <w:p w:rsidR="00DB1C8F" w:rsidRPr="006D55BB" w:rsidRDefault="00DB1C8F" w:rsidP="00DF0694">
      <w:pPr>
        <w:rPr>
          <w:sz w:val="15"/>
          <w:szCs w:val="15"/>
        </w:rPr>
      </w:pPr>
    </w:p>
    <w:p w:rsidR="00DB1C8F" w:rsidRDefault="008254BB" w:rsidP="00DF0694">
      <w:pPr>
        <w:ind w:right="114"/>
        <w:jc w:val="both"/>
        <w:rPr>
          <w:i/>
          <w:sz w:val="24"/>
          <w:szCs w:val="24"/>
        </w:rPr>
      </w:pPr>
      <w:r w:rsidRPr="006D55BB">
        <w:rPr>
          <w:b/>
          <w:i/>
          <w:sz w:val="24"/>
          <w:szCs w:val="24"/>
        </w:rPr>
        <w:t xml:space="preserve">Keywords </w:t>
      </w:r>
      <w:r w:rsidRPr="006D55BB">
        <w:rPr>
          <w:i/>
          <w:w w:val="79"/>
          <w:sz w:val="24"/>
          <w:szCs w:val="24"/>
        </w:rPr>
        <w:t>:</w:t>
      </w:r>
      <w:r w:rsidRPr="006D55BB">
        <w:rPr>
          <w:i/>
          <w:spacing w:val="13"/>
          <w:w w:val="79"/>
          <w:sz w:val="24"/>
          <w:szCs w:val="24"/>
        </w:rPr>
        <w:t xml:space="preserve"> </w:t>
      </w:r>
      <w:r w:rsidR="00C9706F" w:rsidRPr="009354B0">
        <w:rPr>
          <w:i/>
          <w:spacing w:val="-6"/>
          <w:sz w:val="24"/>
          <w:szCs w:val="24"/>
        </w:rPr>
        <w:t>financial literacy</w:t>
      </w:r>
      <w:r w:rsidR="00DF0694">
        <w:rPr>
          <w:i/>
          <w:spacing w:val="-6"/>
          <w:sz w:val="24"/>
          <w:szCs w:val="24"/>
        </w:rPr>
        <w:t>;</w:t>
      </w:r>
      <w:r w:rsidR="00C9706F" w:rsidRPr="009354B0">
        <w:rPr>
          <w:i/>
          <w:spacing w:val="-6"/>
          <w:sz w:val="24"/>
          <w:szCs w:val="24"/>
        </w:rPr>
        <w:t xml:space="preserve"> financial advisors</w:t>
      </w:r>
      <w:r w:rsidR="00DF0694">
        <w:rPr>
          <w:i/>
          <w:spacing w:val="-6"/>
          <w:sz w:val="24"/>
          <w:szCs w:val="24"/>
        </w:rPr>
        <w:t>;</w:t>
      </w:r>
      <w:r w:rsidR="00C9706F" w:rsidRPr="009354B0">
        <w:rPr>
          <w:i/>
          <w:spacing w:val="-6"/>
          <w:sz w:val="24"/>
          <w:szCs w:val="24"/>
        </w:rPr>
        <w:t xml:space="preserve"> simultaneity</w:t>
      </w:r>
      <w:r w:rsidR="00DF0694">
        <w:rPr>
          <w:i/>
          <w:spacing w:val="-6"/>
          <w:sz w:val="24"/>
          <w:szCs w:val="24"/>
        </w:rPr>
        <w:t>;</w:t>
      </w:r>
      <w:r w:rsidR="00C9706F" w:rsidRPr="009354B0">
        <w:rPr>
          <w:i/>
          <w:spacing w:val="-6"/>
          <w:sz w:val="24"/>
          <w:szCs w:val="24"/>
        </w:rPr>
        <w:t xml:space="preserve"> endogenous problems</w:t>
      </w:r>
      <w:r w:rsidR="00DF0694">
        <w:rPr>
          <w:i/>
          <w:spacing w:val="-6"/>
          <w:sz w:val="24"/>
          <w:szCs w:val="24"/>
        </w:rPr>
        <w:t>;</w:t>
      </w:r>
      <w:r w:rsidR="00C9706F" w:rsidRPr="009354B0">
        <w:rPr>
          <w:i/>
          <w:spacing w:val="-6"/>
          <w:sz w:val="24"/>
          <w:szCs w:val="24"/>
        </w:rPr>
        <w:t xml:space="preserve"> instrumental variables</w:t>
      </w:r>
      <w:r w:rsidR="00C9706F" w:rsidRPr="006D55BB">
        <w:rPr>
          <w:i/>
          <w:sz w:val="24"/>
          <w:szCs w:val="24"/>
        </w:rPr>
        <w:t xml:space="preserve"> </w:t>
      </w:r>
    </w:p>
    <w:p w:rsidR="00DF0694" w:rsidRDefault="00DF0694" w:rsidP="00DF0694">
      <w:pPr>
        <w:spacing w:line="360" w:lineRule="auto"/>
        <w:ind w:right="114"/>
        <w:jc w:val="both"/>
        <w:rPr>
          <w:i/>
          <w:sz w:val="24"/>
          <w:szCs w:val="24"/>
        </w:rPr>
      </w:pPr>
    </w:p>
    <w:p w:rsidR="00E229B6" w:rsidRPr="006D55BB" w:rsidRDefault="00E229B6" w:rsidP="00DF0694">
      <w:pPr>
        <w:spacing w:line="360" w:lineRule="auto"/>
        <w:ind w:right="114"/>
        <w:jc w:val="both"/>
        <w:rPr>
          <w:sz w:val="11"/>
          <w:szCs w:val="11"/>
        </w:rPr>
      </w:pPr>
    </w:p>
    <w:p w:rsidR="00DB1C8F" w:rsidRPr="006D55BB" w:rsidRDefault="008254BB" w:rsidP="00DF0694">
      <w:pPr>
        <w:spacing w:line="360" w:lineRule="auto"/>
        <w:ind w:right="31"/>
        <w:jc w:val="both"/>
        <w:rPr>
          <w:sz w:val="24"/>
          <w:szCs w:val="24"/>
        </w:rPr>
      </w:pPr>
      <w:r w:rsidRPr="006D55BB">
        <w:rPr>
          <w:b/>
          <w:sz w:val="24"/>
          <w:szCs w:val="24"/>
        </w:rPr>
        <w:t>PENDAHULUA</w:t>
      </w:r>
      <w:r w:rsidR="00F93F31" w:rsidRPr="006D55BB">
        <w:rPr>
          <w:b/>
          <w:sz w:val="24"/>
          <w:szCs w:val="24"/>
        </w:rPr>
        <w:t>N</w:t>
      </w:r>
    </w:p>
    <w:p w:rsidR="00DB1C8F" w:rsidRDefault="00DB1C8F" w:rsidP="00DF0694">
      <w:pPr>
        <w:spacing w:line="360" w:lineRule="auto"/>
        <w:rPr>
          <w:sz w:val="13"/>
          <w:szCs w:val="13"/>
        </w:rPr>
      </w:pPr>
    </w:p>
    <w:p w:rsidR="00A62101" w:rsidRPr="0076176F" w:rsidRDefault="00167FC4" w:rsidP="00DF0694">
      <w:pPr>
        <w:pStyle w:val="ListParagraph1"/>
        <w:autoSpaceDE w:val="0"/>
        <w:autoSpaceDN w:val="0"/>
        <w:adjustRightInd w:val="0"/>
        <w:spacing w:after="0" w:line="360" w:lineRule="auto"/>
        <w:ind w:left="0"/>
        <w:jc w:val="both"/>
        <w:rPr>
          <w:rFonts w:ascii="Times New Roman" w:eastAsia="Calibri" w:hAnsi="Times New Roman"/>
        </w:rPr>
      </w:pPr>
      <w:r w:rsidRPr="00167FC4">
        <w:rPr>
          <w:rFonts w:ascii="Times New Roman" w:eastAsia="Calibri" w:hAnsi="Times New Roman"/>
          <w:i/>
        </w:rPr>
        <w:t>T</w:t>
      </w:r>
      <w:r w:rsidR="00A62101" w:rsidRPr="0076176F">
        <w:rPr>
          <w:rFonts w:ascii="Times New Roman" w:eastAsia="Calibri" w:hAnsi="Times New Roman"/>
          <w:i/>
        </w:rPr>
        <w:t>he</w:t>
      </w:r>
      <w:r w:rsidR="00A62101" w:rsidRPr="0076176F">
        <w:rPr>
          <w:rFonts w:ascii="Times New Roman" w:eastAsia="Calibri" w:hAnsi="Times New Roman"/>
        </w:rPr>
        <w:t xml:space="preserve"> </w:t>
      </w:r>
      <w:r w:rsidR="00A62101" w:rsidRPr="0076176F">
        <w:rPr>
          <w:rFonts w:ascii="Times New Roman" w:eastAsia="Calibri" w:hAnsi="Times New Roman"/>
          <w:i/>
          <w:iCs/>
        </w:rPr>
        <w:t>life cycle hypothesis</w:t>
      </w:r>
      <w:r>
        <w:rPr>
          <w:rFonts w:ascii="Times New Roman" w:eastAsia="Calibri" w:hAnsi="Times New Roman"/>
        </w:rPr>
        <w:t xml:space="preserve"> membagi</w:t>
      </w:r>
      <w:r w:rsidR="00A62101" w:rsidRPr="0076176F">
        <w:rPr>
          <w:rFonts w:ascii="Times New Roman" w:eastAsia="Calibri" w:hAnsi="Times New Roman"/>
        </w:rPr>
        <w:t xml:space="preserve"> siklus hidup manusia menjadi tiga periode, yaitu: periode belum produktif, periode produktif, serta periode tidak produktif. Periode belum produktif merupakan periode kanak-kanak yang membutuhkan konsumsi namun belum mampu menghasilkan pendapatan, umumnya orangtua akan menanggung seluruh kebutuhan anak. Pada periode ini anak berfokus pada pendidikan sebagai bekal untuk mencari pekerjaan dan bertahan hidup. Selanjutnya, pada periode produktif individu sudah bekerja dan memiliki pendapatan. Pada periode tidak produktif individu sudah tidak mampu bekerja lagi. Hal ini dapat berarti saat individu memasuki usia pensiun maupun saat individu mengalami berbagai hal buruk yang diakibatkan kecelakaan kerja, pemecatan, maupun kondisi makro ekonomi sebuah negara. Kebutuhan hidup pada periode ini dipenuhi dengan tabungan dan investasi yang dilakukan pada periode sebelumnya.</w:t>
      </w:r>
    </w:p>
    <w:p w:rsidR="00A62101" w:rsidRPr="0076176F" w:rsidRDefault="00A62101" w:rsidP="0076176F">
      <w:pPr>
        <w:pStyle w:val="ListParagraph1"/>
        <w:autoSpaceDE w:val="0"/>
        <w:autoSpaceDN w:val="0"/>
        <w:adjustRightInd w:val="0"/>
        <w:spacing w:after="0" w:line="360" w:lineRule="auto"/>
        <w:ind w:left="0" w:firstLine="720"/>
        <w:jc w:val="both"/>
        <w:rPr>
          <w:rFonts w:ascii="Times New Roman" w:eastAsia="Calibri" w:hAnsi="Times New Roman"/>
        </w:rPr>
      </w:pPr>
      <w:r w:rsidRPr="0076176F">
        <w:rPr>
          <w:rFonts w:ascii="Times New Roman" w:eastAsia="Calibri" w:hAnsi="Times New Roman"/>
        </w:rPr>
        <w:lastRenderedPageBreak/>
        <w:t>Umumnya, individu akan cenderung untuk meratakan (</w:t>
      </w:r>
      <w:r w:rsidRPr="0076176F">
        <w:rPr>
          <w:rFonts w:ascii="Times New Roman" w:eastAsia="Calibri" w:hAnsi="Times New Roman"/>
          <w:i/>
          <w:iCs/>
        </w:rPr>
        <w:t>smoothing</w:t>
      </w:r>
      <w:r w:rsidRPr="0076176F">
        <w:rPr>
          <w:rFonts w:ascii="Times New Roman" w:eastAsia="Calibri" w:hAnsi="Times New Roman"/>
        </w:rPr>
        <w:t xml:space="preserve">) pola konsumsinya. Artinya bahwa meski sudah tidak produktif, individu cenderung untuk memiliki pola konsumsi yang sama saat periode produktif. Tantangannya adalah individu tidak lagi memiliki pendapatan seperti sebelumnnya. Individu dituntut untuk memiliki pengeloaan keuangan yang baik selama periode produktif. Selain hal tersebut, </w:t>
      </w:r>
      <w:r w:rsidRPr="0076176F">
        <w:rPr>
          <w:rFonts w:ascii="Times New Roman" w:eastAsia="Calibri" w:hAnsi="Times New Roman"/>
        </w:rPr>
        <w:fldChar w:fldCharType="begin" w:fldLock="1"/>
      </w:r>
      <w:r w:rsidRPr="0076176F">
        <w:rPr>
          <w:rFonts w:ascii="Times New Roman" w:eastAsia="Calibri" w:hAnsi="Times New Roman"/>
        </w:rPr>
        <w:instrText>ADDIN CSL_CITATION {"citationItems":[{"id":"ITEM-1","itemData":{"DOI":"10.1016/j.jmoneco.2005.10.016","ISBN":"0146000013494","ISSN":"01660462","abstract":"By accounting identity the national saving ratio equals the weighted average of the saving ratios in the three principal subsectors of the economy: private households, business and general governemnt. The weights are the respective sector shares in national disposable income. A comprehensive study of the national saving ratio would thus require an analysis of the determinants of sectoral saving ratios as well as sectoral income shares. Nevertheless, the vast majority of studies on saving behaviour concentrate on household saving. The rationale for doing so is the dominant importance of household saving in the determination of national saving. Some studies aggregaate household and business saving into private saving. This procedure can be justified on theoretical grounds because the effect on aggregate household wealth is independent of whether (privately owned) business withholds profits and thereby causes an increase in equity values (capital gains for equity holders) or whether all profits are distributed as dividends and then reinvested (ie saved) by the recipient households. Government saving is usually excluded from the analysis of saving behaviour on the assumption that it is based on policy decisions and thereby subject as much to political ass to economic considerations. In a general sense this applies both to the structural and the cyclical component of government saving: the latter depends largely on the operation of built-in stabilisers, the design of which is also subject to deliberate policy decisions.","author":[{"dropping-particle":"","family":"Sturm","given":"Peter H.","non-dropping-particle":"","parse-names":false,"suffix":""}],"container-title":"OECD Economic Studies","id":"ITEM-1","issue":"1","issued":{"date-parts":[["1983"]]},"page":"147-196","title":"Determinants of Saving: Theory and Evidence","type":"article","volume":"1"},"uris":["http://www.mendeley.com/documents/?uuid=adc2b977-607c-43f3-a4bc-4d06607825aa"]}],"mendeley":{"formattedCitation":"(Sturm 1983)","manualFormatting":"Sturm (1983)","plainTextFormattedCitation":"(Sturm 1983)","previouslyFormattedCitation":"(Sturm 1983)"},"properties":{"noteIndex":0},"schema":"https://github.com/citation-style-language/schema/raw/master/csl-citation.json"}</w:instrText>
      </w:r>
      <w:r w:rsidRPr="0076176F">
        <w:rPr>
          <w:rFonts w:ascii="Times New Roman" w:eastAsia="Calibri" w:hAnsi="Times New Roman"/>
        </w:rPr>
        <w:fldChar w:fldCharType="separate"/>
      </w:r>
      <w:r w:rsidRPr="0076176F">
        <w:rPr>
          <w:rFonts w:ascii="Times New Roman" w:eastAsia="Calibri" w:hAnsi="Times New Roman"/>
          <w:noProof/>
        </w:rPr>
        <w:t>Sturm (1983)</w:t>
      </w:r>
      <w:r w:rsidRPr="0076176F">
        <w:rPr>
          <w:rFonts w:ascii="Times New Roman" w:eastAsia="Calibri" w:hAnsi="Times New Roman"/>
        </w:rPr>
        <w:fldChar w:fldCharType="end"/>
      </w:r>
      <w:r w:rsidRPr="0076176F">
        <w:rPr>
          <w:rFonts w:ascii="Times New Roman" w:eastAsia="Calibri" w:hAnsi="Times New Roman"/>
        </w:rPr>
        <w:t xml:space="preserve"> menambahkan tiga alasan lain individu dalam melakukan penghematan selama periode produktif, yaitu: menghadapi kondisi darurat, memberikan warisan (</w:t>
      </w:r>
      <w:r w:rsidRPr="0076176F">
        <w:rPr>
          <w:rFonts w:ascii="Times New Roman" w:eastAsia="Calibri" w:hAnsi="Times New Roman"/>
          <w:i/>
          <w:iCs/>
        </w:rPr>
        <w:t>bequest</w:t>
      </w:r>
      <w:r w:rsidRPr="0076176F">
        <w:rPr>
          <w:rFonts w:ascii="Times New Roman" w:eastAsia="Calibri" w:hAnsi="Times New Roman"/>
        </w:rPr>
        <w:t>) dan mendapatkan aset berwujud.</w:t>
      </w:r>
    </w:p>
    <w:p w:rsidR="00A62101" w:rsidRPr="0076176F" w:rsidRDefault="00A62101" w:rsidP="0076176F">
      <w:pPr>
        <w:pStyle w:val="ListParagraph1"/>
        <w:autoSpaceDE w:val="0"/>
        <w:autoSpaceDN w:val="0"/>
        <w:adjustRightInd w:val="0"/>
        <w:spacing w:after="0" w:line="360" w:lineRule="auto"/>
        <w:ind w:left="0" w:firstLine="720"/>
        <w:jc w:val="both"/>
        <w:rPr>
          <w:rFonts w:ascii="Times New Roman" w:eastAsia="Calibri" w:hAnsi="Times New Roman"/>
        </w:rPr>
      </w:pPr>
      <w:r w:rsidRPr="0076176F">
        <w:rPr>
          <w:rFonts w:ascii="Times New Roman" w:eastAsia="Calibri" w:hAnsi="Times New Roman"/>
        </w:rPr>
        <w:t xml:space="preserve">Pengeloaan keuangan yang baik membutuhkan perencanaan yang tepat. Layanan konsultasi keuangan oleh profesional dapat membantu individu untuk merencanakan keuangannya dengan lebih terarah. Berbagai studi menunjukkan manfaat berkonsultasi dengan profesional pada berbagai aspek keuangan, misalnya: mendapatkan pembiayaan perumahan yang murah </w:t>
      </w:r>
      <w:r w:rsidRPr="0076176F">
        <w:rPr>
          <w:rFonts w:ascii="Times New Roman" w:eastAsia="Calibri" w:hAnsi="Times New Roman"/>
        </w:rPr>
        <w:fldChar w:fldCharType="begin" w:fldLock="1"/>
      </w:r>
      <w:r w:rsidRPr="0076176F">
        <w:rPr>
          <w:rFonts w:ascii="Times New Roman" w:eastAsia="Calibri" w:hAnsi="Times New Roman"/>
        </w:rPr>
        <w:instrText>ADDIN CSL_CITATION {"citationItems":[{"id":"ITEM-1","itemData":{"DOI":"10.1016/j.jbankfin.2016.05.001","ISSN":"03784266","abstract":"A limited understanding of mortgage contracts and the risks involved may have contributed to the outbreak of the 2007–2008 financial crisis. We developed a special questionnaire relating mortgage loan decisions to financial knowledge and financial advice. Our results demonstrate that homeowners appear to be well aware of mortgage risks. Large loans relative to home value are perceived as riskier, as are loans with large mortgage payments relative to income and loans linked to investment vehicles. Homeowners with riskier mortgages indicated that they could encounter financial problems should house prices or their income decline. Homeowners with relatively low debt literacy are more likely to take out traditional mortgages with principal repayments over the maturity of the loan. Riskier mortgages are more prevalent among homeowners with a better understanding of loan contracts. Financially less sophisticated homeowners consulting mortgage brokers, too, hold riskier mortgages.","author":[{"dropping-particle":"","family":"Ooijen","given":"Raun","non-dropping-particle":"van","parse-names":false,"suffix":""},{"dropping-particle":"","family":"Rooij","given":"Maarten C.J.","non-dropping-particle":"van","parse-names":false,"suffix":""}],"container-title":"Journal of Banking and Finance","id":"ITEM-1","issued":{"date-parts":[["2016"]]},"page":"201-217","publisher":"Elsevier B.V.","title":"Mortgage risks, debt literacy and financial advice","type":"article-journal","volume":"72"},"uris":["http://www.mendeley.com/documents/?uuid=6925600c-1a42-40f3-9b85-1b0b869d052c"]}],"mendeley":{"formattedCitation":"(van Ooijen and van Rooij 2016)","plainTextFormattedCitation":"(van Ooijen and van Rooij 2016)","previouslyFormattedCitation":"(van Ooijen and van Rooij 2016)"},"properties":{"noteIndex":0},"schema":"https://github.com/citation-style-language/schema/raw/master/csl-citation.json"}</w:instrText>
      </w:r>
      <w:r w:rsidRPr="0076176F">
        <w:rPr>
          <w:rFonts w:ascii="Times New Roman" w:eastAsia="Calibri" w:hAnsi="Times New Roman"/>
        </w:rPr>
        <w:fldChar w:fldCharType="separate"/>
      </w:r>
      <w:r w:rsidRPr="0076176F">
        <w:rPr>
          <w:rFonts w:ascii="Times New Roman" w:eastAsia="Calibri" w:hAnsi="Times New Roman"/>
          <w:noProof/>
        </w:rPr>
        <w:t>(van Ooijen and van Rooij 2016)</w:t>
      </w:r>
      <w:r w:rsidRPr="0076176F">
        <w:rPr>
          <w:rFonts w:ascii="Times New Roman" w:eastAsia="Calibri" w:hAnsi="Times New Roman"/>
        </w:rPr>
        <w:fldChar w:fldCharType="end"/>
      </w:r>
      <w:r w:rsidRPr="0076176F">
        <w:rPr>
          <w:rFonts w:ascii="Times New Roman" w:eastAsia="Calibri" w:hAnsi="Times New Roman"/>
        </w:rPr>
        <w:t xml:space="preserve">, mengurangi risiko gagal bayar atas pembiayaan perumahanc </w:t>
      </w:r>
      <w:r w:rsidRPr="0076176F">
        <w:rPr>
          <w:rFonts w:ascii="Times New Roman" w:eastAsia="Calibri" w:hAnsi="Times New Roman"/>
        </w:rPr>
        <w:fldChar w:fldCharType="begin" w:fldLock="1"/>
      </w:r>
      <w:r w:rsidR="0076176F">
        <w:rPr>
          <w:rFonts w:ascii="Times New Roman" w:eastAsia="Calibri" w:hAnsi="Times New Roman"/>
        </w:rPr>
        <w:instrText>ADDIN CSL_CITATION {"citationItems":[{"id":"ITEM-1","itemData":{"DOI":"10.1111/1540-6229.12140","ISSN":"15406229","abstract":"This article examines the relationship between broker–borrower interaction in the origination process and subsequent mortgage performance. I show that face-to-face interaction between a mortgage broker and borrower before the loan funds is associated with lower levels of ex post default. The relation between face-to-face broker–borrower interaction and mortgage performance holds only for borrowers that have characteristics associated with low levels of financial literacy. Specifically, face-to-face interaction is negatively related to default for minorities, borrowers located in areas with low levels of education, low-income borrowers and borrowers with low FICO scores. My results suggest that face-to-face interaction between the mortgage broker and borrower may reduce problems associated with financial illiteracy.","author":[{"dropping-particle":"","family":"Conklin","given":"James N.","non-dropping-particle":"","parse-names":false,"suffix":""}],"container-title":"Real Estate Economics","id":"ITEM-1","issue":"2","issued":{"date-parts":[["2017"]]},"page":"376-414","title":"Financial Literacy, Broker–Borrower Interaction and Mortgage Default","type":"article-journal","volume":"45"},"uris":["http://www.mendeley.com/documents/?uuid=d83f3ddb-5062-4885-9f69-48a83eed42ce"]}],"mendeley":{"formattedCitation":"(Conklin 2017)","plainTextFormattedCitation":"(Conklin 2017)","previouslyFormattedCitation":"(Conklin 2017)"},"properties":{"noteIndex":0},"schema":"https://github.com/citation-style-language/schema/raw/master/csl-citation.json"}</w:instrText>
      </w:r>
      <w:r w:rsidRPr="0076176F">
        <w:rPr>
          <w:rFonts w:ascii="Times New Roman" w:eastAsia="Calibri" w:hAnsi="Times New Roman"/>
        </w:rPr>
        <w:fldChar w:fldCharType="separate"/>
      </w:r>
      <w:r w:rsidRPr="0076176F">
        <w:rPr>
          <w:rFonts w:ascii="Times New Roman" w:eastAsia="Calibri" w:hAnsi="Times New Roman"/>
          <w:noProof/>
        </w:rPr>
        <w:t>(Conklin 2017)</w:t>
      </w:r>
      <w:r w:rsidRPr="0076176F">
        <w:rPr>
          <w:rFonts w:ascii="Times New Roman" w:eastAsia="Calibri" w:hAnsi="Times New Roman"/>
        </w:rPr>
        <w:fldChar w:fldCharType="end"/>
      </w:r>
      <w:r w:rsidRPr="0076176F">
        <w:rPr>
          <w:rFonts w:ascii="Times New Roman" w:eastAsia="Calibri" w:hAnsi="Times New Roman"/>
        </w:rPr>
        <w:t xml:space="preserve">, </w:t>
      </w:r>
      <w:r w:rsidR="00022D84">
        <w:rPr>
          <w:rFonts w:ascii="Times New Roman" w:eastAsia="Calibri" w:hAnsi="Times New Roman"/>
        </w:rPr>
        <w:t xml:space="preserve">mengenali kebutuhan pada masa mendatang </w:t>
      </w:r>
      <w:r w:rsidR="00022D84">
        <w:rPr>
          <w:rFonts w:ascii="Times New Roman" w:eastAsia="Calibri" w:hAnsi="Times New Roman"/>
        </w:rPr>
        <w:fldChar w:fldCharType="begin" w:fldLock="1"/>
      </w:r>
      <w:r w:rsidR="009F5766">
        <w:rPr>
          <w:rFonts w:ascii="Times New Roman" w:eastAsia="Calibri" w:hAnsi="Times New Roman"/>
        </w:rPr>
        <w:instrText>ADDIN CSL_CITATION {"citationItems":[{"id":"ITEM-1","itemData":{"DOI":"10.1017/S1474747211000485","ISBN":"1475-3022","ISSN":"1474-7472","PMID":"25246403","abstract":"We examine financial literacy in Germany using data from the SAVE survey. We find that knowledge of basic financial concepts is lacking among women, the less educated, and those living in East Germany. In particular, those with low education and low income in East Germany have low financial literacy compared to their West German counterparts. Interestingly, there is no gender disparity in financial knowledge in the East. In order to investigate the nexus of causality between financial literacy and retirement planning, we develop an instrumental variables strategy by making use of regional variation in the financial knowledge of peers. We find a positive impact of financial knowledge on retirement planning.","author":[{"dropping-particle":"","family":"Bucher-Koenen","given":"Tabea","non-dropping-particle":"","parse-names":false,"suffix":""},{"dropping-particle":"","family":"Lusardi","given":"Annamaria","non-dropping-particle":"","parse-names":false,"suffix":""}],"container-title":"Journal of Pension Economics and Finance","id":"ITEM-1","issue":"04","issued":{"date-parts":[["2011","10","11"]]},"page":"565-584","title":"Financial literacy and retirement planning in Germany","type":"article-journal","volume":"10"},"uris":["http://www.mendeley.com/documents/?uuid=e73a4ae1-b343-4543-b9b0-cd35b00401ec"]}],"mendeley":{"formattedCitation":"(Bucher-Koenen and Lusardi 2011)","plainTextFormattedCitation":"(Bucher-Koenen and Lusardi 2011)","previouslyFormattedCitation":"(Bucher-Koenen and Lusardi 2011)"},"properties":{"noteIndex":0},"schema":"https://github.com/citation-style-language/schema/raw/master/csl-citation.json"}</w:instrText>
      </w:r>
      <w:r w:rsidR="00022D84">
        <w:rPr>
          <w:rFonts w:ascii="Times New Roman" w:eastAsia="Calibri" w:hAnsi="Times New Roman"/>
        </w:rPr>
        <w:fldChar w:fldCharType="separate"/>
      </w:r>
      <w:r w:rsidR="00022D84" w:rsidRPr="00022D84">
        <w:rPr>
          <w:rFonts w:ascii="Times New Roman" w:eastAsia="Calibri" w:hAnsi="Times New Roman"/>
          <w:noProof/>
        </w:rPr>
        <w:t>(Bucher-Koenen and Lusardi 2011)</w:t>
      </w:r>
      <w:r w:rsidR="00022D84">
        <w:rPr>
          <w:rFonts w:ascii="Times New Roman" w:eastAsia="Calibri" w:hAnsi="Times New Roman"/>
        </w:rPr>
        <w:fldChar w:fldCharType="end"/>
      </w:r>
      <w:r w:rsidR="00022D84">
        <w:rPr>
          <w:rFonts w:ascii="Times New Roman" w:eastAsia="Calibri" w:hAnsi="Times New Roman"/>
        </w:rPr>
        <w:t>, dan sebagainya</w:t>
      </w:r>
      <w:r w:rsidR="009F5766">
        <w:rPr>
          <w:rFonts w:ascii="Times New Roman" w:eastAsia="Calibri" w:hAnsi="Times New Roman"/>
        </w:rPr>
        <w:t>.</w:t>
      </w:r>
    </w:p>
    <w:p w:rsidR="00A62101" w:rsidRPr="0076176F" w:rsidRDefault="00A62101" w:rsidP="0076176F">
      <w:pPr>
        <w:pStyle w:val="ListParagraph1"/>
        <w:autoSpaceDE w:val="0"/>
        <w:autoSpaceDN w:val="0"/>
        <w:adjustRightInd w:val="0"/>
        <w:spacing w:after="0" w:line="360" w:lineRule="auto"/>
        <w:ind w:left="0" w:firstLine="720"/>
        <w:jc w:val="both"/>
        <w:rPr>
          <w:rFonts w:ascii="Times New Roman" w:eastAsia="Calibri" w:hAnsi="Times New Roman"/>
        </w:rPr>
      </w:pPr>
      <w:r w:rsidRPr="0076176F">
        <w:rPr>
          <w:rFonts w:ascii="Times New Roman" w:eastAsia="Calibri" w:hAnsi="Times New Roman"/>
        </w:rPr>
        <w:t>Meski begitu, studi yang dilakukan oleh CNBC (</w:t>
      </w:r>
      <w:r w:rsidR="00C9706F">
        <w:rPr>
          <w:rFonts w:ascii="Times New Roman" w:eastAsia="Calibri" w:hAnsi="Times New Roman"/>
        </w:rPr>
        <w:fldChar w:fldCharType="begin" w:fldLock="1"/>
      </w:r>
      <w:r w:rsidR="00C9706F">
        <w:rPr>
          <w:rFonts w:ascii="Times New Roman" w:eastAsia="Calibri" w:hAnsi="Times New Roman"/>
        </w:rPr>
        <w:instrText>ADDIN CSL_CITATION {"citationItems":[{"id":"ITEM-1","itemData":{"URL":"https://www.cnbc.com/2019/11/11/99percent-of-americans-dont-use-a-financial-advisor-heres-why.html","author":[{"dropping-particle":"","family":"Fox","given":"Michelle","non-dropping-particle":"","parse-names":false,"suffix":""}],"id":"ITEM-1","issued":{"date-parts":[["2019"]]},"title":"99% of Americans don't use a financial advisor — here's why","type":"webpage"},"uris":["http://www.mendeley.com/documents/?uuid=729c36c8-ffdd-42a5-8c3c-0d817921569d"]}],"mendeley":{"formattedCitation":"(Fox 2019)","plainTextFormattedCitation":"(Fox 2019)","previouslyFormattedCitation":"(Fox, n.d.)"},"properties":{"noteIndex":0},"schema":"https://github.com/citation-style-language/schema/raw/master/csl-citation.json"}</w:instrText>
      </w:r>
      <w:r w:rsidR="00C9706F">
        <w:rPr>
          <w:rFonts w:ascii="Times New Roman" w:eastAsia="Calibri" w:hAnsi="Times New Roman"/>
        </w:rPr>
        <w:fldChar w:fldCharType="separate"/>
      </w:r>
      <w:r w:rsidR="00C9706F" w:rsidRPr="00C9706F">
        <w:rPr>
          <w:rFonts w:ascii="Times New Roman" w:eastAsia="Calibri" w:hAnsi="Times New Roman"/>
          <w:noProof/>
        </w:rPr>
        <w:t>(Fox 2019)</w:t>
      </w:r>
      <w:r w:rsidR="00C9706F">
        <w:rPr>
          <w:rFonts w:ascii="Times New Roman" w:eastAsia="Calibri" w:hAnsi="Times New Roman"/>
        </w:rPr>
        <w:fldChar w:fldCharType="end"/>
      </w:r>
      <w:r w:rsidR="00C9706F">
        <w:rPr>
          <w:rFonts w:ascii="Times New Roman" w:eastAsia="Calibri" w:hAnsi="Times New Roman"/>
        </w:rPr>
        <w:t xml:space="preserve"> </w:t>
      </w:r>
      <w:r w:rsidRPr="0076176F">
        <w:rPr>
          <w:rFonts w:ascii="Times New Roman" w:eastAsia="Calibri" w:hAnsi="Times New Roman"/>
        </w:rPr>
        <w:t xml:space="preserve">menyimpulkan bahwa minat masyarakat untuk berkonsultasi pada profesional masih sangat rendah. </w:t>
      </w:r>
      <w:r w:rsidR="0076176F">
        <w:rPr>
          <w:rFonts w:ascii="Times New Roman" w:eastAsia="Calibri" w:hAnsi="Times New Roman"/>
        </w:rPr>
        <w:t xml:space="preserve">Dalam konteks negara maju seperti Amerika Serikat, hanya 1% masyarakat yang memeiliki </w:t>
      </w:r>
      <w:r w:rsidR="004715A1">
        <w:rPr>
          <w:rFonts w:ascii="Times New Roman" w:eastAsia="Calibri" w:hAnsi="Times New Roman"/>
        </w:rPr>
        <w:t>pengambilan keputusan untuk</w:t>
      </w:r>
      <w:r w:rsidR="0076176F">
        <w:rPr>
          <w:rFonts w:ascii="Times New Roman" w:eastAsia="Calibri" w:hAnsi="Times New Roman"/>
        </w:rPr>
        <w:t xml:space="preserve"> </w:t>
      </w:r>
      <w:r w:rsidR="0076176F" w:rsidRPr="0076176F">
        <w:rPr>
          <w:rFonts w:ascii="Times New Roman" w:eastAsia="Calibri" w:hAnsi="Times New Roman"/>
        </w:rPr>
        <w:t>berkonsultasi</w:t>
      </w:r>
      <w:r w:rsidR="0076176F">
        <w:rPr>
          <w:rFonts w:ascii="Times New Roman" w:eastAsia="Calibri" w:hAnsi="Times New Roman"/>
        </w:rPr>
        <w:t xml:space="preserve"> pada</w:t>
      </w:r>
      <w:r w:rsidR="0076176F" w:rsidRPr="0076176F">
        <w:rPr>
          <w:rFonts w:ascii="Times New Roman" w:eastAsia="Calibri" w:hAnsi="Times New Roman"/>
        </w:rPr>
        <w:t xml:space="preserve"> perencana keuangan profesional</w:t>
      </w:r>
      <w:r w:rsidRPr="0076176F">
        <w:rPr>
          <w:rFonts w:ascii="Times New Roman" w:eastAsia="Calibri" w:hAnsi="Times New Roman"/>
        </w:rPr>
        <w:t>. Hal ini karena berkonsultasi pada profesional dipersepsikan mahal dan tidak sebanding dengan jumlah aset yang dimiliki. Konsultasi keuangan dianggap lebih cocok untuk dilakukan individu kaya.</w:t>
      </w:r>
    </w:p>
    <w:p w:rsidR="0076176F" w:rsidRDefault="00A62101" w:rsidP="0076176F">
      <w:pPr>
        <w:pStyle w:val="ListParagraph1"/>
        <w:autoSpaceDE w:val="0"/>
        <w:autoSpaceDN w:val="0"/>
        <w:adjustRightInd w:val="0"/>
        <w:spacing w:after="0" w:line="360" w:lineRule="auto"/>
        <w:ind w:left="0" w:firstLine="720"/>
        <w:jc w:val="both"/>
        <w:rPr>
          <w:rFonts w:cs="Calibri"/>
        </w:rPr>
      </w:pPr>
      <w:r w:rsidRPr="0076176F">
        <w:rPr>
          <w:rFonts w:ascii="Times New Roman" w:eastAsia="Calibri" w:hAnsi="Times New Roman"/>
        </w:rPr>
        <w:t xml:space="preserve">Studi menunjukkan bahwa literasi keuangan akan meningkatkan peluang individu berkonsultasi pada profesional. Namun, peneliti menduga bahwa hubungan antara literasi keuangan dan </w:t>
      </w:r>
      <w:r w:rsidR="004715A1">
        <w:rPr>
          <w:rFonts w:ascii="Times New Roman" w:eastAsia="Calibri" w:hAnsi="Times New Roman"/>
        </w:rPr>
        <w:t>pengambilan keputusan untuk</w:t>
      </w:r>
      <w:r w:rsidRPr="0076176F">
        <w:rPr>
          <w:rFonts w:ascii="Times New Roman" w:eastAsia="Calibri" w:hAnsi="Times New Roman"/>
        </w:rPr>
        <w:t xml:space="preserve"> keuangan </w:t>
      </w:r>
      <w:r w:rsidR="009F5766">
        <w:rPr>
          <w:rFonts w:ascii="Times New Roman" w:eastAsia="Calibri" w:hAnsi="Times New Roman"/>
        </w:rPr>
        <w:t xml:space="preserve">juga </w:t>
      </w:r>
      <w:r w:rsidRPr="0076176F">
        <w:rPr>
          <w:rFonts w:ascii="Times New Roman" w:eastAsia="Calibri" w:hAnsi="Times New Roman"/>
        </w:rPr>
        <w:t xml:space="preserve">dapat bersifat simultan. Artinya literasi keuangan memang dapat meningkatkan probabilitas individu untuk mengkonsultasikan kondisi keuangannya dengan </w:t>
      </w:r>
      <w:r w:rsidR="0076176F">
        <w:rPr>
          <w:rFonts w:ascii="Times New Roman" w:eastAsia="Calibri" w:hAnsi="Times New Roman"/>
        </w:rPr>
        <w:t>profesional, namun mungkin juga sebalik</w:t>
      </w:r>
      <w:r w:rsidRPr="0076176F">
        <w:rPr>
          <w:rFonts w:ascii="Times New Roman" w:eastAsia="Calibri" w:hAnsi="Times New Roman"/>
        </w:rPr>
        <w:t xml:space="preserve">nya </w:t>
      </w:r>
      <w:r w:rsidR="0076176F">
        <w:rPr>
          <w:rFonts w:ascii="Times New Roman" w:eastAsia="Calibri" w:hAnsi="Times New Roman"/>
        </w:rPr>
        <w:t xml:space="preserve">bahwa ketika individu telah terlebih </w:t>
      </w:r>
      <w:r w:rsidR="0076176F" w:rsidRPr="009F5766">
        <w:rPr>
          <w:rFonts w:ascii="Times New Roman" w:eastAsia="Calibri" w:hAnsi="Times New Roman"/>
        </w:rPr>
        <w:t xml:space="preserve">dahulu </w:t>
      </w:r>
      <w:r w:rsidRPr="009F5766">
        <w:rPr>
          <w:rFonts w:ascii="Times New Roman" w:eastAsia="Calibri" w:hAnsi="Times New Roman"/>
        </w:rPr>
        <w:t xml:space="preserve">berkonsultasi pada profesional </w:t>
      </w:r>
      <w:r w:rsidR="0076176F" w:rsidRPr="009F5766">
        <w:rPr>
          <w:rFonts w:ascii="Times New Roman" w:eastAsia="Calibri" w:hAnsi="Times New Roman"/>
        </w:rPr>
        <w:t xml:space="preserve">maka ia </w:t>
      </w:r>
      <w:r w:rsidR="00022D84" w:rsidRPr="009F5766">
        <w:rPr>
          <w:rFonts w:ascii="Times New Roman" w:eastAsia="Calibri" w:hAnsi="Times New Roman"/>
        </w:rPr>
        <w:t>mengalami peningkatan literasi keuangan</w:t>
      </w:r>
      <w:r w:rsidR="0076176F" w:rsidRPr="009F5766">
        <w:rPr>
          <w:rFonts w:ascii="Times New Roman" w:eastAsia="Calibri" w:hAnsi="Times New Roman"/>
        </w:rPr>
        <w:t xml:space="preserve">. </w:t>
      </w:r>
      <w:r w:rsidR="0076176F" w:rsidRPr="009F5766">
        <w:rPr>
          <w:rFonts w:ascii="Times New Roman" w:hAnsi="Times New Roman"/>
          <w:shd w:val="clear" w:color="auto" w:fill="FFFFFF"/>
        </w:rPr>
        <w:t xml:space="preserve">Kemungkinan hubungan simultan ini berpotensi mengakibatkan masalah </w:t>
      </w:r>
      <w:r w:rsidR="0076176F" w:rsidRPr="009F5766">
        <w:rPr>
          <w:rFonts w:ascii="Times New Roman" w:hAnsi="Times New Roman"/>
          <w:shd w:val="clear" w:color="auto" w:fill="FFFFFF"/>
        </w:rPr>
        <w:lastRenderedPageBreak/>
        <w:t>endogenitas (</w:t>
      </w:r>
      <w:r w:rsidR="0076176F" w:rsidRPr="009F5766">
        <w:rPr>
          <w:rFonts w:ascii="Times New Roman" w:hAnsi="Times New Roman"/>
          <w:i/>
          <w:iCs/>
          <w:shd w:val="clear" w:color="auto" w:fill="FFFFFF"/>
        </w:rPr>
        <w:t>endogeneity problem</w:t>
      </w:r>
      <w:r w:rsidR="0076176F" w:rsidRPr="009F5766">
        <w:rPr>
          <w:rFonts w:ascii="Times New Roman" w:hAnsi="Times New Roman"/>
          <w:shd w:val="clear" w:color="auto" w:fill="FFFFFF"/>
        </w:rPr>
        <w:t xml:space="preserve">) apabila tidak dilakukan penanganan yang tepat </w:t>
      </w:r>
      <w:r w:rsidR="0076176F" w:rsidRPr="009F5766">
        <w:rPr>
          <w:rFonts w:ascii="Times New Roman" w:hAnsi="Times New Roman"/>
          <w:shd w:val="clear" w:color="auto" w:fill="FFFFFF"/>
        </w:rPr>
        <w:fldChar w:fldCharType="begin" w:fldLock="1"/>
      </w:r>
      <w:r w:rsidR="00D20D3A" w:rsidRPr="009F5766">
        <w:rPr>
          <w:rFonts w:ascii="Times New Roman" w:hAnsi="Times New Roman"/>
          <w:shd w:val="clear" w:color="auto" w:fill="FFFFFF"/>
        </w:rPr>
        <w:instrText>ADDIN CSL_CITATION {"citationItems":[{"id":"ITEM-1","itemData":{"ISBN":"9781305270107","author":[{"dropping-particle":"","family":"Woolridge","given":"Jeffrey M.","non-dropping-particle":"","parse-names":false,"suffix":""}],"edition":"6th ed.","id":"ITEM-1","issued":{"date-parts":[["2016"]]},"number-of-pages":"1-771","publisher":"Cengage Learning","publisher-place":"Boston, USA","title":"Introductory Econometrics: A Modern Approach","type":"book"},"uris":["http://www.mendeley.com/documents/?uuid=83613fc9-4c3b-430c-a8c3-7bb006640075"]}],"mendeley":{"formattedCitation":"(Woolridge 2016)","plainTextFormattedCitation":"(Woolridge 2016)","previouslyFormattedCitation":"(Woolridge 2016)"},"properties":{"noteIndex":0},"schema":"https://github.com/citation-style-language/schema/raw/master/csl-citation.json"}</w:instrText>
      </w:r>
      <w:r w:rsidR="0076176F" w:rsidRPr="009F5766">
        <w:rPr>
          <w:rFonts w:ascii="Times New Roman" w:hAnsi="Times New Roman"/>
          <w:shd w:val="clear" w:color="auto" w:fill="FFFFFF"/>
        </w:rPr>
        <w:fldChar w:fldCharType="separate"/>
      </w:r>
      <w:r w:rsidR="0076176F" w:rsidRPr="009F5766">
        <w:rPr>
          <w:rFonts w:ascii="Times New Roman" w:hAnsi="Times New Roman"/>
          <w:noProof/>
          <w:shd w:val="clear" w:color="auto" w:fill="FFFFFF"/>
        </w:rPr>
        <w:t>(Woolridge 2016)</w:t>
      </w:r>
      <w:r w:rsidR="0076176F" w:rsidRPr="009F5766">
        <w:rPr>
          <w:rFonts w:ascii="Times New Roman" w:hAnsi="Times New Roman"/>
          <w:shd w:val="clear" w:color="auto" w:fill="FFFFFF"/>
        </w:rPr>
        <w:fldChar w:fldCharType="end"/>
      </w:r>
      <w:r w:rsidR="0076176F" w:rsidRPr="009F5766">
        <w:rPr>
          <w:rFonts w:ascii="Times New Roman" w:hAnsi="Times New Roman"/>
          <w:shd w:val="clear" w:color="auto" w:fill="FFFFFF"/>
        </w:rPr>
        <w:t>.</w:t>
      </w:r>
      <w:r w:rsidR="0076176F" w:rsidRPr="009F5766">
        <w:rPr>
          <w:rFonts w:ascii="Times New Roman" w:hAnsi="Times New Roman"/>
        </w:rPr>
        <w:t xml:space="preserve"> Lebih jauh, </w:t>
      </w:r>
      <w:r w:rsidR="0076176F" w:rsidRPr="009F5766">
        <w:rPr>
          <w:rFonts w:ascii="Times New Roman" w:hAnsi="Times New Roman"/>
          <w:shd w:val="clear" w:color="auto" w:fill="FFFFFF"/>
        </w:rPr>
        <w:t xml:space="preserve">parameter yang diestimasi menjadi bias dan inkonsisten sehingga </w:t>
      </w:r>
      <w:r w:rsidR="0076176F" w:rsidRPr="009F5766">
        <w:rPr>
          <w:rFonts w:ascii="Times New Roman" w:hAnsi="Times New Roman"/>
        </w:rPr>
        <w:t>kesimpulan studi menjadi tidak tepat.</w:t>
      </w:r>
    </w:p>
    <w:p w:rsidR="0076176F" w:rsidRPr="00167FC4" w:rsidRDefault="0076176F" w:rsidP="009F5766">
      <w:pPr>
        <w:pStyle w:val="ListParagraph1"/>
        <w:autoSpaceDE w:val="0"/>
        <w:autoSpaceDN w:val="0"/>
        <w:adjustRightInd w:val="0"/>
        <w:spacing w:after="0" w:line="360" w:lineRule="auto"/>
        <w:ind w:left="0" w:firstLine="720"/>
        <w:jc w:val="both"/>
        <w:rPr>
          <w:rFonts w:ascii="Times New Roman" w:hAnsi="Times New Roman"/>
        </w:rPr>
      </w:pPr>
      <w:r w:rsidRPr="00167FC4">
        <w:rPr>
          <w:rFonts w:ascii="Times New Roman" w:hAnsi="Times New Roman"/>
        </w:rPr>
        <w:t xml:space="preserve">Studi ini menguji mengenai ada tidaknya hubungan simultan antara </w:t>
      </w:r>
      <w:r w:rsidR="004715A1" w:rsidRPr="00167FC4">
        <w:rPr>
          <w:rFonts w:ascii="Times New Roman" w:hAnsi="Times New Roman"/>
        </w:rPr>
        <w:t>pengambilan keputusan untuk</w:t>
      </w:r>
      <w:r w:rsidRPr="00167FC4">
        <w:rPr>
          <w:rFonts w:ascii="Times New Roman" w:hAnsi="Times New Roman"/>
        </w:rPr>
        <w:t xml:space="preserve"> berkonsultasi dengan literasi keuangan. Selanjutnya</w:t>
      </w:r>
      <w:r w:rsidR="00F6457A" w:rsidRPr="00167FC4">
        <w:rPr>
          <w:rFonts w:ascii="Times New Roman" w:hAnsi="Times New Roman"/>
        </w:rPr>
        <w:t xml:space="preserve">, </w:t>
      </w:r>
      <w:r w:rsidR="00022D84" w:rsidRPr="00167FC4">
        <w:rPr>
          <w:rFonts w:ascii="Times New Roman" w:hAnsi="Times New Roman"/>
        </w:rPr>
        <w:t xml:space="preserve">temuan tersebut menjadi dasar dalam menentukan metode estimasi yang tepat untuk menguji </w:t>
      </w:r>
      <w:r w:rsidR="00F6457A" w:rsidRPr="00167FC4">
        <w:rPr>
          <w:rFonts w:ascii="Times New Roman" w:hAnsi="Times New Roman"/>
        </w:rPr>
        <w:t xml:space="preserve">pengaruh literasi keuangan terhadap </w:t>
      </w:r>
      <w:r w:rsidR="004715A1" w:rsidRPr="00167FC4">
        <w:rPr>
          <w:rFonts w:ascii="Times New Roman" w:hAnsi="Times New Roman"/>
        </w:rPr>
        <w:t>pengambilan keputusan untuk</w:t>
      </w:r>
      <w:r w:rsidR="00022D84" w:rsidRPr="00167FC4">
        <w:rPr>
          <w:rFonts w:ascii="Times New Roman" w:hAnsi="Times New Roman"/>
        </w:rPr>
        <w:t xml:space="preserve"> berkonsultasi. Hal ini bermanfaat untuk semua pemangku kepentingan dalam mengoptimalkan keputusan keuangan individu karena secara agregat akan berpengaruh pada kondisi keuangan makro sebuah negara.</w:t>
      </w:r>
    </w:p>
    <w:p w:rsidR="002A559D" w:rsidRDefault="002A559D" w:rsidP="006D55BB">
      <w:pPr>
        <w:spacing w:line="360" w:lineRule="auto"/>
        <w:ind w:right="112" w:firstLine="588"/>
        <w:jc w:val="both"/>
        <w:rPr>
          <w:spacing w:val="1"/>
          <w:sz w:val="24"/>
          <w:szCs w:val="24"/>
        </w:rPr>
      </w:pPr>
    </w:p>
    <w:p w:rsidR="00F93F31" w:rsidRPr="00387A07" w:rsidRDefault="00F93F31" w:rsidP="006D55BB">
      <w:pPr>
        <w:pStyle w:val="Heading1"/>
        <w:numPr>
          <w:ilvl w:val="0"/>
          <w:numId w:val="0"/>
        </w:numPr>
        <w:spacing w:before="0" w:after="0" w:line="360" w:lineRule="auto"/>
        <w:ind w:left="720" w:hanging="720"/>
        <w:rPr>
          <w:rFonts w:ascii="Times New Roman" w:hAnsi="Times New Roman" w:cs="Times New Roman"/>
          <w:sz w:val="24"/>
          <w:szCs w:val="24"/>
        </w:rPr>
      </w:pPr>
      <w:r w:rsidRPr="00387A07">
        <w:rPr>
          <w:rFonts w:ascii="Times New Roman" w:hAnsi="Times New Roman" w:cs="Times New Roman"/>
          <w:sz w:val="24"/>
          <w:szCs w:val="24"/>
        </w:rPr>
        <w:t xml:space="preserve">TINJAUAN PUSTAKA ATAU LANDASAN TEORI </w:t>
      </w:r>
    </w:p>
    <w:p w:rsidR="00F93F31" w:rsidRDefault="009F5766" w:rsidP="006D55BB">
      <w:pPr>
        <w:spacing w:line="360" w:lineRule="auto"/>
        <w:ind w:right="112" w:firstLine="720"/>
        <w:jc w:val="both"/>
        <w:rPr>
          <w:sz w:val="24"/>
          <w:szCs w:val="24"/>
        </w:rPr>
      </w:pPr>
      <w:r>
        <w:rPr>
          <w:sz w:val="24"/>
          <w:szCs w:val="24"/>
        </w:rPr>
        <w:t>Studi ini melakukan t</w:t>
      </w:r>
      <w:r w:rsidR="00F6457A">
        <w:rPr>
          <w:sz w:val="24"/>
          <w:szCs w:val="24"/>
        </w:rPr>
        <w:t xml:space="preserve">injauan pustaka </w:t>
      </w:r>
      <w:r>
        <w:rPr>
          <w:sz w:val="24"/>
          <w:szCs w:val="24"/>
        </w:rPr>
        <w:t xml:space="preserve">yang terbagi </w:t>
      </w:r>
      <w:r w:rsidR="00F6457A">
        <w:rPr>
          <w:sz w:val="24"/>
          <w:szCs w:val="24"/>
        </w:rPr>
        <w:t>dalam dua bagian</w:t>
      </w:r>
      <w:r w:rsidR="00D20D3A">
        <w:rPr>
          <w:sz w:val="24"/>
          <w:szCs w:val="24"/>
        </w:rPr>
        <w:t xml:space="preserve"> utama</w:t>
      </w:r>
      <w:r w:rsidR="00F6457A">
        <w:rPr>
          <w:sz w:val="24"/>
          <w:szCs w:val="24"/>
        </w:rPr>
        <w:t xml:space="preserve"> yaitu mengenai hubungan antara literasi keuangan dan </w:t>
      </w:r>
      <w:r w:rsidR="004715A1">
        <w:rPr>
          <w:sz w:val="24"/>
          <w:szCs w:val="24"/>
        </w:rPr>
        <w:t>pengambilan keputusan untuk</w:t>
      </w:r>
      <w:r w:rsidR="00F6457A">
        <w:rPr>
          <w:sz w:val="24"/>
          <w:szCs w:val="24"/>
        </w:rPr>
        <w:t xml:space="preserve"> berkonsultasi </w:t>
      </w:r>
      <w:r w:rsidR="00D20D3A">
        <w:rPr>
          <w:sz w:val="24"/>
          <w:szCs w:val="24"/>
        </w:rPr>
        <w:t xml:space="preserve">serta </w:t>
      </w:r>
      <w:r>
        <w:rPr>
          <w:sz w:val="24"/>
          <w:szCs w:val="24"/>
        </w:rPr>
        <w:t>masalah endogenitas akibat hubungan simultan.</w:t>
      </w:r>
    </w:p>
    <w:p w:rsidR="009F5766" w:rsidRPr="00F93F31" w:rsidRDefault="009F5766" w:rsidP="006D55BB">
      <w:pPr>
        <w:spacing w:line="360" w:lineRule="auto"/>
        <w:ind w:right="112" w:firstLine="720"/>
        <w:jc w:val="both"/>
        <w:rPr>
          <w:sz w:val="24"/>
          <w:szCs w:val="24"/>
        </w:rPr>
      </w:pPr>
    </w:p>
    <w:p w:rsidR="00DB1C8F" w:rsidRPr="00387A07" w:rsidRDefault="00D20D3A" w:rsidP="00E61B98">
      <w:pPr>
        <w:pStyle w:val="Heading2"/>
        <w:numPr>
          <w:ilvl w:val="0"/>
          <w:numId w:val="0"/>
        </w:numPr>
        <w:spacing w:before="0" w:after="0" w:line="360" w:lineRule="auto"/>
        <w:rPr>
          <w:rFonts w:ascii="Times New Roman" w:hAnsi="Times New Roman" w:cs="Times New Roman"/>
          <w:i w:val="0"/>
          <w:sz w:val="24"/>
          <w:szCs w:val="24"/>
        </w:rPr>
      </w:pPr>
      <w:r>
        <w:rPr>
          <w:rFonts w:ascii="Times New Roman" w:hAnsi="Times New Roman" w:cs="Times New Roman"/>
          <w:i w:val="0"/>
          <w:sz w:val="24"/>
          <w:szCs w:val="24"/>
        </w:rPr>
        <w:t xml:space="preserve">Literasi keuangan dan </w:t>
      </w:r>
      <w:r w:rsidR="004715A1">
        <w:rPr>
          <w:rFonts w:ascii="Times New Roman" w:hAnsi="Times New Roman" w:cs="Times New Roman"/>
          <w:i w:val="0"/>
          <w:sz w:val="24"/>
          <w:szCs w:val="24"/>
        </w:rPr>
        <w:t>keputusan untuk</w:t>
      </w:r>
      <w:r>
        <w:rPr>
          <w:rFonts w:ascii="Times New Roman" w:hAnsi="Times New Roman" w:cs="Times New Roman"/>
          <w:i w:val="0"/>
          <w:sz w:val="24"/>
          <w:szCs w:val="24"/>
        </w:rPr>
        <w:t xml:space="preserve"> berkonsultasi</w:t>
      </w:r>
    </w:p>
    <w:p w:rsidR="00D20D3A" w:rsidRDefault="005A38D5" w:rsidP="00D20D3A">
      <w:pPr>
        <w:spacing w:line="360" w:lineRule="auto"/>
        <w:ind w:right="113" w:firstLine="588"/>
        <w:jc w:val="both"/>
        <w:rPr>
          <w:sz w:val="24"/>
          <w:szCs w:val="24"/>
        </w:rPr>
      </w:pPr>
      <w:r>
        <w:rPr>
          <w:sz w:val="24"/>
          <w:szCs w:val="24"/>
        </w:rPr>
        <w:t>K</w:t>
      </w:r>
      <w:r w:rsidR="00D20D3A" w:rsidRPr="00D20D3A">
        <w:rPr>
          <w:sz w:val="24"/>
          <w:szCs w:val="24"/>
        </w:rPr>
        <w:t>onseptualisasi literasi keuangan</w:t>
      </w:r>
      <w:r w:rsidR="0022023B">
        <w:rPr>
          <w:sz w:val="24"/>
          <w:szCs w:val="24"/>
        </w:rPr>
        <w:t xml:space="preserve"> dari satu studi dan studi lainnya dapat berbeda</w:t>
      </w:r>
      <w:r w:rsidR="00D20D3A" w:rsidRPr="00D20D3A">
        <w:rPr>
          <w:sz w:val="24"/>
          <w:szCs w:val="24"/>
        </w:rPr>
        <w:t xml:space="preserve">. </w:t>
      </w:r>
      <w:r w:rsidR="0022023B">
        <w:rPr>
          <w:sz w:val="24"/>
          <w:szCs w:val="24"/>
        </w:rPr>
        <w:t xml:space="preserve">Dengan kata lain, belum ada konsensus mengenai konsep literasi keuangan. </w:t>
      </w:r>
      <w:r w:rsidR="00D20D3A">
        <w:rPr>
          <w:sz w:val="24"/>
          <w:szCs w:val="24"/>
        </w:rPr>
        <w:t xml:space="preserve">Melalui meta analisis yang dilakukannya, </w:t>
      </w:r>
      <w:r w:rsidR="00D20D3A">
        <w:rPr>
          <w:sz w:val="24"/>
          <w:szCs w:val="24"/>
        </w:rPr>
        <w:fldChar w:fldCharType="begin" w:fldLock="1"/>
      </w:r>
      <w:r w:rsidR="0022023B">
        <w:rPr>
          <w:sz w:val="24"/>
          <w:szCs w:val="24"/>
        </w:rPr>
        <w:instrText>ADDIN CSL_CITATION {"citationItems":[{"id":"ITEM-1","itemData":{"DOI":"10.2139/ssrn.1498674","ISSN":"1556-5068","abstract":"Current economic conditions have raised serious concerns about Americans' financial security, especially for those who lack the skills and resources to withstand financial market downswings and take advantage of upswings. However, significant debate continues about the role of financial literacy, the extent of the problem it truly represents, and the best way to address it. A large part of this debate may be linked to the fact that a great deal of variation continues to exist in how researchers define and measure financial literacy itself. By providing a review of theoretical and operational approaches to financial literacy, as well as a conceptual model and composite definition of financial literacy, this paper contributes towards further sharpening this debate.","author":[{"dropping-particle":"","family":"Hung","given":"Angela","non-dropping-particle":"","parse-names":false,"suffix":""},{"dropping-particle":"","family":"Parker","given":"Andrew M.","non-dropping-particle":"","parse-names":false,"suffix":""},{"dropping-particle":"","family":"Yoong","given":"Joanne","non-dropping-particle":"","parse-names":false,"suffix":""}],"container-title":"SSRN Electronic Journal","id":"ITEM-1","issued":{"date-parts":[["2009"]]},"page":"28 pp.","title":"Defining and Measuring Financial Literacy","type":"article-journal","volume":"708"},"uris":["http://www.mendeley.com/documents/?uuid=5bcc59ac-6177-4e72-8d50-337b8a555f94"]}],"mendeley":{"formattedCitation":"(Hung, Parker, and Yoong 2009)","manualFormatting":"Hung, Parker, dan Yoong (2009)","plainTextFormattedCitation":"(Hung, Parker, and Yoong 2009)","previouslyFormattedCitation":"(Hung, Parker, and Yoong 2009)"},"properties":{"noteIndex":0},"schema":"https://github.com/citation-style-language/schema/raw/master/csl-citation.json"}</w:instrText>
      </w:r>
      <w:r w:rsidR="00D20D3A">
        <w:rPr>
          <w:sz w:val="24"/>
          <w:szCs w:val="24"/>
        </w:rPr>
        <w:fldChar w:fldCharType="separate"/>
      </w:r>
      <w:r w:rsidR="00D20D3A" w:rsidRPr="00D20D3A">
        <w:rPr>
          <w:noProof/>
          <w:sz w:val="24"/>
          <w:szCs w:val="24"/>
        </w:rPr>
        <w:t xml:space="preserve">Hung, Parker, </w:t>
      </w:r>
      <w:r w:rsidR="00D20D3A">
        <w:rPr>
          <w:noProof/>
          <w:sz w:val="24"/>
          <w:szCs w:val="24"/>
        </w:rPr>
        <w:t>dan</w:t>
      </w:r>
      <w:r w:rsidR="00D20D3A" w:rsidRPr="00D20D3A">
        <w:rPr>
          <w:noProof/>
          <w:sz w:val="24"/>
          <w:szCs w:val="24"/>
        </w:rPr>
        <w:t xml:space="preserve"> Yoong </w:t>
      </w:r>
      <w:r w:rsidR="0022023B">
        <w:rPr>
          <w:noProof/>
          <w:sz w:val="24"/>
          <w:szCs w:val="24"/>
        </w:rPr>
        <w:t>(</w:t>
      </w:r>
      <w:r w:rsidR="00D20D3A" w:rsidRPr="00D20D3A">
        <w:rPr>
          <w:noProof/>
          <w:sz w:val="24"/>
          <w:szCs w:val="24"/>
        </w:rPr>
        <w:t>2009)</w:t>
      </w:r>
      <w:r w:rsidR="00D20D3A">
        <w:rPr>
          <w:sz w:val="24"/>
          <w:szCs w:val="24"/>
        </w:rPr>
        <w:fldChar w:fldCharType="end"/>
      </w:r>
      <w:r w:rsidR="00D20D3A">
        <w:rPr>
          <w:sz w:val="24"/>
          <w:szCs w:val="24"/>
        </w:rPr>
        <w:t xml:space="preserve"> </w:t>
      </w:r>
      <w:r w:rsidR="00D20D3A" w:rsidRPr="00D20D3A">
        <w:rPr>
          <w:sz w:val="24"/>
          <w:szCs w:val="24"/>
        </w:rPr>
        <w:t>menemukan bahwa literasi keuangan didefinisikan</w:t>
      </w:r>
      <w:r w:rsidR="00D20D3A">
        <w:rPr>
          <w:sz w:val="24"/>
          <w:szCs w:val="24"/>
        </w:rPr>
        <w:t xml:space="preserve"> secara beragam</w:t>
      </w:r>
      <w:r w:rsidR="0022023B">
        <w:rPr>
          <w:sz w:val="24"/>
          <w:szCs w:val="24"/>
        </w:rPr>
        <w:t xml:space="preserve"> yaitu</w:t>
      </w:r>
      <w:r w:rsidR="00D20D3A">
        <w:rPr>
          <w:sz w:val="24"/>
          <w:szCs w:val="24"/>
        </w:rPr>
        <w:t xml:space="preserve"> sebagai</w:t>
      </w:r>
      <w:r w:rsidR="00D20D3A" w:rsidRPr="00D20D3A">
        <w:rPr>
          <w:sz w:val="24"/>
          <w:szCs w:val="24"/>
        </w:rPr>
        <w:t xml:space="preserve"> pengetahuan atau pemahama</w:t>
      </w:r>
      <w:r w:rsidR="00D20D3A">
        <w:rPr>
          <w:sz w:val="24"/>
          <w:szCs w:val="24"/>
        </w:rPr>
        <w:t xml:space="preserve">n spesifik pada bidang keuangan, </w:t>
      </w:r>
      <w:r w:rsidR="0022023B">
        <w:rPr>
          <w:sz w:val="24"/>
          <w:szCs w:val="24"/>
        </w:rPr>
        <w:t xml:space="preserve">atau lebih lanjut sebagai </w:t>
      </w:r>
      <w:r w:rsidR="00D20D3A" w:rsidRPr="00D20D3A">
        <w:rPr>
          <w:sz w:val="24"/>
          <w:szCs w:val="24"/>
        </w:rPr>
        <w:t>kemampuan</w:t>
      </w:r>
      <w:r w:rsidR="00D20D3A">
        <w:rPr>
          <w:sz w:val="24"/>
          <w:szCs w:val="24"/>
        </w:rPr>
        <w:t xml:space="preserve"> untuk</w:t>
      </w:r>
      <w:r w:rsidR="00D20D3A" w:rsidRPr="00D20D3A">
        <w:rPr>
          <w:sz w:val="24"/>
          <w:szCs w:val="24"/>
        </w:rPr>
        <w:t xml:space="preserve"> </w:t>
      </w:r>
      <w:r w:rsidR="0022023B">
        <w:rPr>
          <w:sz w:val="24"/>
          <w:szCs w:val="24"/>
        </w:rPr>
        <w:t>integrasi</w:t>
      </w:r>
      <w:r w:rsidR="00D20D3A" w:rsidRPr="00D20D3A">
        <w:rPr>
          <w:sz w:val="24"/>
          <w:szCs w:val="24"/>
        </w:rPr>
        <w:t xml:space="preserve"> pengetahuan </w:t>
      </w:r>
      <w:r w:rsidR="0022023B">
        <w:rPr>
          <w:sz w:val="24"/>
          <w:szCs w:val="24"/>
        </w:rPr>
        <w:t xml:space="preserve">dan </w:t>
      </w:r>
      <w:r w:rsidR="0075194E">
        <w:rPr>
          <w:sz w:val="24"/>
          <w:szCs w:val="24"/>
        </w:rPr>
        <w:t>perilaku</w:t>
      </w:r>
      <w:r w:rsidR="0022023B">
        <w:rPr>
          <w:sz w:val="24"/>
          <w:szCs w:val="24"/>
        </w:rPr>
        <w:t xml:space="preserve"> keuangan individu.</w:t>
      </w:r>
    </w:p>
    <w:p w:rsidR="0022023B" w:rsidRDefault="00D20D3A" w:rsidP="0022023B">
      <w:pPr>
        <w:spacing w:line="360" w:lineRule="auto"/>
        <w:ind w:right="113" w:firstLine="588"/>
        <w:jc w:val="both"/>
        <w:rPr>
          <w:sz w:val="24"/>
          <w:szCs w:val="24"/>
        </w:rPr>
      </w:pPr>
      <w:r>
        <w:rPr>
          <w:sz w:val="24"/>
          <w:szCs w:val="24"/>
        </w:rPr>
        <w:t>Pen</w:t>
      </w:r>
      <w:r w:rsidR="00022D84">
        <w:rPr>
          <w:sz w:val="24"/>
          <w:szCs w:val="24"/>
        </w:rPr>
        <w:t>eliti</w:t>
      </w:r>
      <w:r>
        <w:rPr>
          <w:sz w:val="24"/>
          <w:szCs w:val="24"/>
        </w:rPr>
        <w:t xml:space="preserve"> melakukan pembatasan bahwa literasi keuangan dalam penelitian ini merupakan pengetahuan spesifik mengenai keuangan. Hal ini dilakukan karena literasi keuangan yang mengintegrasikan pengetahuan dan </w:t>
      </w:r>
      <w:r w:rsidR="0075194E">
        <w:rPr>
          <w:sz w:val="24"/>
          <w:szCs w:val="24"/>
        </w:rPr>
        <w:t>perilaku</w:t>
      </w:r>
      <w:r>
        <w:rPr>
          <w:sz w:val="24"/>
          <w:szCs w:val="24"/>
        </w:rPr>
        <w:t xml:space="preserve"> keuangan </w:t>
      </w:r>
      <w:r w:rsidRPr="00D20D3A">
        <w:rPr>
          <w:sz w:val="24"/>
          <w:szCs w:val="24"/>
        </w:rPr>
        <w:t>memberikan batasan yang kabur antara konsep literasi keuangan dan kapabilitas keuangan</w:t>
      </w:r>
      <w:r w:rsidR="0022023B">
        <w:rPr>
          <w:sz w:val="24"/>
          <w:szCs w:val="24"/>
        </w:rPr>
        <w:t>.</w:t>
      </w:r>
    </w:p>
    <w:p w:rsidR="0022023B" w:rsidRDefault="0022023B" w:rsidP="0022023B">
      <w:pPr>
        <w:spacing w:line="360" w:lineRule="auto"/>
        <w:ind w:right="113" w:firstLine="588"/>
        <w:jc w:val="both"/>
        <w:rPr>
          <w:sz w:val="24"/>
          <w:szCs w:val="24"/>
        </w:rPr>
      </w:pPr>
      <w:r>
        <w:rPr>
          <w:sz w:val="24"/>
          <w:szCs w:val="24"/>
        </w:rPr>
        <w:t xml:space="preserve">Secara khusus, konsep literasi keuangan sebagai pengetahuan diturunkan dalam pertanyaan-pertanyaan. Pertanyaan dibagi dalam dua </w:t>
      </w:r>
      <w:r w:rsidR="002322BA">
        <w:rPr>
          <w:sz w:val="24"/>
          <w:szCs w:val="24"/>
        </w:rPr>
        <w:t xml:space="preserve">tingkatan </w:t>
      </w:r>
      <w:r>
        <w:rPr>
          <w:sz w:val="24"/>
          <w:szCs w:val="24"/>
        </w:rPr>
        <w:t xml:space="preserve">yaitu tingkat </w:t>
      </w:r>
      <w:r>
        <w:rPr>
          <w:sz w:val="24"/>
          <w:szCs w:val="24"/>
        </w:rPr>
        <w:lastRenderedPageBreak/>
        <w:t xml:space="preserve">dasar dan tingkat lanjutan. </w:t>
      </w:r>
      <w:r w:rsidR="002322BA">
        <w:rPr>
          <w:sz w:val="24"/>
          <w:szCs w:val="24"/>
        </w:rPr>
        <w:t xml:space="preserve">Untuk pengujian literasi keuangan pada masyarakat umum maka pertanyaan literasi keuangan tingkat dasar menjadi lebih tepat. </w:t>
      </w:r>
      <w:r w:rsidRPr="0022023B">
        <w:rPr>
          <w:sz w:val="24"/>
          <w:szCs w:val="24"/>
        </w:rPr>
        <w:t xml:space="preserve">Dominasi penelitian menggunakan komponen pengukuran </w:t>
      </w:r>
      <w:r w:rsidR="002322BA">
        <w:rPr>
          <w:sz w:val="24"/>
          <w:szCs w:val="24"/>
        </w:rPr>
        <w:t xml:space="preserve">literasi keuangan dasar </w:t>
      </w:r>
      <w:r w:rsidRPr="0022023B">
        <w:rPr>
          <w:sz w:val="24"/>
          <w:szCs w:val="24"/>
        </w:rPr>
        <w:t xml:space="preserve">yang diperkenalkan oleh </w:t>
      </w:r>
      <w:r w:rsidR="002322BA">
        <w:rPr>
          <w:sz w:val="24"/>
          <w:szCs w:val="24"/>
        </w:rPr>
        <w:fldChar w:fldCharType="begin" w:fldLock="1"/>
      </w:r>
      <w:r w:rsidR="002322BA">
        <w:rPr>
          <w:sz w:val="24"/>
          <w:szCs w:val="24"/>
        </w:rPr>
        <w:instrText>ADDIN CSL_CITATION {"citationItems":[{"id":"ITEM-1","itemData":{"DOI":"10.1257/aer.98.2.413","ISBN":"00028282","ISSN":"00028282","PMID":"21183215","abstract":"Many older US households have done little or no planning for retirement, and there is a substantial population that seems to undersave for retirement. Of particular concern is the relative position of older women, who are more vulnerable to old-age poverty due to their longer longevity. This paper uses data from a special module we devised on planning and financial literacy in the 2004 Health and Retirement Study. It shows that women display much lower levels of financial literacy than the older population as a whole. In addition, women who are less financially literate are also less likely to plan for retirement and be successful planners. These findings have important implications for policy and for programs aimed at fostering financial security at older ages.","author":[{"dropping-particle":"","family":"Lusardi","given":"Annamaria","non-dropping-particle":"","parse-names":false,"suffix":""},{"dropping-particle":"","family":"Mitchell","given":"Olivia S.","non-dropping-particle":"","parse-names":false,"suffix":""}],"container-title":"American Economic Review","id":"ITEM-1","issue":"2","issued":{"date-parts":[["2008"]]},"page":"413-417","title":"Planning and financial literacy: How do women fare?","type":"paper-conference","volume":"98"},"uris":["http://www.mendeley.com/documents/?uuid=9d58bf81-ac9e-4aa7-9755-b4ddc04c8e13"]}],"mendeley":{"formattedCitation":"(Lusardi and Mitchell 2008)","manualFormatting":"Lusardi dan Mitchell (2008)","plainTextFormattedCitation":"(Lusardi and Mitchell 2008)","previouslyFormattedCitation":"(Lusardi and Mitchell 2008)"},"properties":{"noteIndex":0},"schema":"https://github.com/citation-style-language/schema/raw/master/csl-citation.json"}</w:instrText>
      </w:r>
      <w:r w:rsidR="002322BA">
        <w:rPr>
          <w:sz w:val="24"/>
          <w:szCs w:val="24"/>
        </w:rPr>
        <w:fldChar w:fldCharType="separate"/>
      </w:r>
      <w:r w:rsidR="002322BA">
        <w:rPr>
          <w:noProof/>
          <w:sz w:val="24"/>
          <w:szCs w:val="24"/>
        </w:rPr>
        <w:t xml:space="preserve">Lusardi </w:t>
      </w:r>
      <w:r w:rsidR="002322BA" w:rsidRPr="002322BA">
        <w:rPr>
          <w:noProof/>
          <w:sz w:val="24"/>
          <w:szCs w:val="24"/>
        </w:rPr>
        <w:t>d</w:t>
      </w:r>
      <w:r w:rsidR="002322BA">
        <w:rPr>
          <w:noProof/>
          <w:sz w:val="24"/>
          <w:szCs w:val="24"/>
        </w:rPr>
        <w:t>an</w:t>
      </w:r>
      <w:r w:rsidR="002322BA" w:rsidRPr="002322BA">
        <w:rPr>
          <w:noProof/>
          <w:sz w:val="24"/>
          <w:szCs w:val="24"/>
        </w:rPr>
        <w:t xml:space="preserve"> Mitchell </w:t>
      </w:r>
      <w:r w:rsidR="002322BA">
        <w:rPr>
          <w:noProof/>
          <w:sz w:val="24"/>
          <w:szCs w:val="24"/>
        </w:rPr>
        <w:t>(</w:t>
      </w:r>
      <w:r w:rsidR="002322BA" w:rsidRPr="002322BA">
        <w:rPr>
          <w:noProof/>
          <w:sz w:val="24"/>
          <w:szCs w:val="24"/>
        </w:rPr>
        <w:t>2008)</w:t>
      </w:r>
      <w:r w:rsidR="002322BA">
        <w:rPr>
          <w:sz w:val="24"/>
          <w:szCs w:val="24"/>
        </w:rPr>
        <w:fldChar w:fldCharType="end"/>
      </w:r>
      <w:r w:rsidR="002322BA">
        <w:rPr>
          <w:sz w:val="24"/>
          <w:szCs w:val="24"/>
        </w:rPr>
        <w:t xml:space="preserve"> dan dikembangkan oleh </w:t>
      </w:r>
      <w:r w:rsidR="002322BA">
        <w:rPr>
          <w:sz w:val="24"/>
          <w:szCs w:val="24"/>
        </w:rPr>
        <w:fldChar w:fldCharType="begin" w:fldLock="1"/>
      </w:r>
      <w:r w:rsidR="0008722B">
        <w:rPr>
          <w:sz w:val="24"/>
          <w:szCs w:val="24"/>
        </w:rPr>
        <w:instrText>ADDIN CSL_CITATION {"citationItems":[{"id":"ITEM-1","itemData":{"DOI":"10.1177/0963662514564516","ISBN":"2029947148","ISSN":"0963-6625","PMID":"25838273","author":[{"dropping-particle":"","family":"Lusardi","given":"Annamaria","non-dropping-particle":"","parse-names":false,"suffix":""}],"container-title":"Public Understanding of Science","id":"ITEM-1","issue":"3","issued":{"date-parts":[["2015"]]},"page":"260-271","title":"Financial literacy: Do people know the &lt;i&gt;ABCs&lt;/i&gt; of finance?","type":"article-journal","volume":"24"},"uris":["http://www.mendeley.com/documents/?uuid=01332341-489e-4d6d-ab5d-f05f58724cd1"]}],"mendeley":{"formattedCitation":"(Lusardi 2015)","manualFormatting":"Lusardi (2015)","plainTextFormattedCitation":"(Lusardi 2015)","previouslyFormattedCitation":"(Lusardi 2015)"},"properties":{"noteIndex":0},"schema":"https://github.com/citation-style-language/schema/raw/master/csl-citation.json"}</w:instrText>
      </w:r>
      <w:r w:rsidR="002322BA">
        <w:rPr>
          <w:sz w:val="24"/>
          <w:szCs w:val="24"/>
        </w:rPr>
        <w:fldChar w:fldCharType="separate"/>
      </w:r>
      <w:r w:rsidR="002322BA" w:rsidRPr="002322BA">
        <w:rPr>
          <w:noProof/>
          <w:sz w:val="24"/>
          <w:szCs w:val="24"/>
        </w:rPr>
        <w:t xml:space="preserve">Lusardi </w:t>
      </w:r>
      <w:r w:rsidR="002322BA">
        <w:rPr>
          <w:noProof/>
          <w:sz w:val="24"/>
          <w:szCs w:val="24"/>
        </w:rPr>
        <w:t>(</w:t>
      </w:r>
      <w:r w:rsidR="002322BA" w:rsidRPr="002322BA">
        <w:rPr>
          <w:noProof/>
          <w:sz w:val="24"/>
          <w:szCs w:val="24"/>
        </w:rPr>
        <w:t>2015)</w:t>
      </w:r>
      <w:r w:rsidR="002322BA">
        <w:rPr>
          <w:sz w:val="24"/>
          <w:szCs w:val="24"/>
        </w:rPr>
        <w:fldChar w:fldCharType="end"/>
      </w:r>
      <w:r w:rsidR="002322BA">
        <w:rPr>
          <w:sz w:val="24"/>
          <w:szCs w:val="24"/>
        </w:rPr>
        <w:t xml:space="preserve">. Komponen pertanyaan </w:t>
      </w:r>
      <w:r w:rsidRPr="0022023B">
        <w:rPr>
          <w:sz w:val="24"/>
          <w:szCs w:val="24"/>
        </w:rPr>
        <w:t>meliputi kemampuan matematis mengenai</w:t>
      </w:r>
      <w:r w:rsidR="008702E0">
        <w:rPr>
          <w:sz w:val="24"/>
          <w:szCs w:val="24"/>
        </w:rPr>
        <w:t xml:space="preserve"> </w:t>
      </w:r>
      <w:r w:rsidR="004D3F2B">
        <w:rPr>
          <w:sz w:val="24"/>
          <w:szCs w:val="24"/>
        </w:rPr>
        <w:t>suku bunga majemuk</w:t>
      </w:r>
      <w:r w:rsidR="003D58F7">
        <w:rPr>
          <w:sz w:val="24"/>
          <w:szCs w:val="24"/>
        </w:rPr>
        <w:t xml:space="preserve">, inflasi, </w:t>
      </w:r>
      <w:r w:rsidRPr="0022023B">
        <w:rPr>
          <w:sz w:val="24"/>
          <w:szCs w:val="24"/>
        </w:rPr>
        <w:t>diversifikasi risiko</w:t>
      </w:r>
      <w:r w:rsidR="002322BA">
        <w:rPr>
          <w:sz w:val="24"/>
          <w:szCs w:val="24"/>
        </w:rPr>
        <w:t>, pemilihan hutang yang efektif, serta investasi berpendapatan tetap.</w:t>
      </w:r>
    </w:p>
    <w:p w:rsidR="008702E0" w:rsidRDefault="003D58F7" w:rsidP="008702E0">
      <w:pPr>
        <w:spacing w:line="360" w:lineRule="auto"/>
        <w:ind w:right="113" w:firstLine="588"/>
        <w:jc w:val="both"/>
        <w:rPr>
          <w:sz w:val="24"/>
          <w:szCs w:val="24"/>
        </w:rPr>
      </w:pPr>
      <w:r w:rsidRPr="003D58F7">
        <w:rPr>
          <w:sz w:val="24"/>
          <w:szCs w:val="24"/>
        </w:rPr>
        <w:t xml:space="preserve">Penelitian terdahulu mengenai literasi keuangan </w:t>
      </w:r>
      <w:r w:rsidR="00697E97">
        <w:rPr>
          <w:sz w:val="24"/>
          <w:szCs w:val="24"/>
        </w:rPr>
        <w:t>berfokus pada</w:t>
      </w:r>
      <w:r w:rsidR="005A38D5">
        <w:rPr>
          <w:sz w:val="24"/>
          <w:szCs w:val="24"/>
        </w:rPr>
        <w:t xml:space="preserve"> </w:t>
      </w:r>
      <w:r w:rsidR="008702E0">
        <w:rPr>
          <w:sz w:val="24"/>
          <w:szCs w:val="24"/>
        </w:rPr>
        <w:t>tiga hal</w:t>
      </w:r>
      <w:r w:rsidR="001E47F4">
        <w:rPr>
          <w:sz w:val="24"/>
          <w:szCs w:val="24"/>
        </w:rPr>
        <w:t xml:space="preserve"> yaitu:</w:t>
      </w:r>
      <w:r w:rsidR="008702E0">
        <w:rPr>
          <w:sz w:val="24"/>
          <w:szCs w:val="24"/>
        </w:rPr>
        <w:t xml:space="preserve"> </w:t>
      </w:r>
      <w:r w:rsidR="005A38D5">
        <w:rPr>
          <w:sz w:val="24"/>
          <w:szCs w:val="24"/>
        </w:rPr>
        <w:t>det</w:t>
      </w:r>
      <w:r w:rsidR="003904C7">
        <w:rPr>
          <w:sz w:val="24"/>
          <w:szCs w:val="24"/>
        </w:rPr>
        <w:t xml:space="preserve">erminan dari literasi keuangan, perbandingan tingkat literasi keuangan antarnegara, </w:t>
      </w:r>
      <w:r w:rsidR="001E47F4">
        <w:rPr>
          <w:sz w:val="24"/>
          <w:szCs w:val="24"/>
        </w:rPr>
        <w:t xml:space="preserve">dan konsekuen dari </w:t>
      </w:r>
      <w:r w:rsidR="00A26348">
        <w:rPr>
          <w:sz w:val="24"/>
          <w:szCs w:val="24"/>
        </w:rPr>
        <w:t>literasi keuangan. Determinan literasi keuangan dapat dilihat</w:t>
      </w:r>
      <w:r w:rsidRPr="003D58F7">
        <w:rPr>
          <w:sz w:val="24"/>
          <w:szCs w:val="24"/>
        </w:rPr>
        <w:t xml:space="preserve"> dalam </w:t>
      </w:r>
      <w:r w:rsidR="00A26348">
        <w:rPr>
          <w:sz w:val="24"/>
          <w:szCs w:val="24"/>
        </w:rPr>
        <w:t>berbagai</w:t>
      </w:r>
      <w:r w:rsidRPr="003D58F7">
        <w:rPr>
          <w:sz w:val="24"/>
          <w:szCs w:val="24"/>
        </w:rPr>
        <w:t xml:space="preserve"> konteks</w:t>
      </w:r>
      <w:r w:rsidR="00A26348">
        <w:rPr>
          <w:sz w:val="24"/>
          <w:szCs w:val="24"/>
        </w:rPr>
        <w:t xml:space="preserve"> seperti: karakter demografis (jenis kelamin, usia, </w:t>
      </w:r>
      <w:r w:rsidR="0008722B">
        <w:rPr>
          <w:sz w:val="24"/>
          <w:szCs w:val="24"/>
        </w:rPr>
        <w:t xml:space="preserve">status pernikahan, pendapatan, pendidikan, lokasi geografis, latar belakang keluarga) hingga faktor genetik. </w:t>
      </w:r>
      <w:r w:rsidR="003904C7">
        <w:rPr>
          <w:sz w:val="24"/>
          <w:szCs w:val="24"/>
        </w:rPr>
        <w:t>Tingkat literasi keuangan antarnegara</w:t>
      </w:r>
      <w:r w:rsidR="001E47F4">
        <w:rPr>
          <w:sz w:val="24"/>
          <w:szCs w:val="24"/>
        </w:rPr>
        <w:t xml:space="preserve"> diperbandingkan</w:t>
      </w:r>
      <w:r w:rsidR="003904C7">
        <w:rPr>
          <w:sz w:val="24"/>
          <w:szCs w:val="24"/>
        </w:rPr>
        <w:t xml:space="preserve"> </w:t>
      </w:r>
      <w:r w:rsidR="001E47F4">
        <w:rPr>
          <w:sz w:val="24"/>
          <w:szCs w:val="24"/>
        </w:rPr>
        <w:t xml:space="preserve">dalam </w:t>
      </w:r>
      <w:r w:rsidR="003904C7">
        <w:rPr>
          <w:sz w:val="24"/>
          <w:szCs w:val="24"/>
        </w:rPr>
        <w:t xml:space="preserve">konteks negara maju-negara berkembang, </w:t>
      </w:r>
      <w:r w:rsidR="008702E0">
        <w:rPr>
          <w:sz w:val="24"/>
          <w:szCs w:val="24"/>
        </w:rPr>
        <w:t xml:space="preserve">sistem </w:t>
      </w:r>
      <w:r w:rsidR="003904C7">
        <w:rPr>
          <w:sz w:val="24"/>
          <w:szCs w:val="24"/>
        </w:rPr>
        <w:t>kebudayaan</w:t>
      </w:r>
      <w:r w:rsidR="008702E0">
        <w:rPr>
          <w:sz w:val="24"/>
          <w:szCs w:val="24"/>
        </w:rPr>
        <w:t xml:space="preserve"> atau </w:t>
      </w:r>
      <w:r w:rsidR="001E47F4">
        <w:rPr>
          <w:sz w:val="24"/>
          <w:szCs w:val="24"/>
        </w:rPr>
        <w:t xml:space="preserve">sistem </w:t>
      </w:r>
      <w:r w:rsidR="008702E0">
        <w:rPr>
          <w:sz w:val="24"/>
          <w:szCs w:val="24"/>
        </w:rPr>
        <w:t>pendidikan</w:t>
      </w:r>
      <w:r w:rsidR="001E47F4">
        <w:rPr>
          <w:sz w:val="24"/>
          <w:szCs w:val="24"/>
        </w:rPr>
        <w:t xml:space="preserve"> tertetu.</w:t>
      </w:r>
      <w:r w:rsidR="008702E0">
        <w:rPr>
          <w:sz w:val="24"/>
          <w:szCs w:val="24"/>
        </w:rPr>
        <w:t>.</w:t>
      </w:r>
    </w:p>
    <w:p w:rsidR="00446CCE" w:rsidRDefault="001E47F4" w:rsidP="008702E0">
      <w:pPr>
        <w:spacing w:line="360" w:lineRule="auto"/>
        <w:ind w:right="113" w:firstLine="588"/>
        <w:jc w:val="both"/>
        <w:rPr>
          <w:sz w:val="24"/>
          <w:szCs w:val="24"/>
        </w:rPr>
      </w:pPr>
      <w:r>
        <w:rPr>
          <w:sz w:val="24"/>
          <w:szCs w:val="24"/>
        </w:rPr>
        <w:t xml:space="preserve">Sedangkan studi mengenai konsekuensi dari </w:t>
      </w:r>
      <w:r w:rsidR="0008722B">
        <w:rPr>
          <w:sz w:val="24"/>
          <w:szCs w:val="24"/>
        </w:rPr>
        <w:t>literasi keuangan</w:t>
      </w:r>
      <w:r>
        <w:rPr>
          <w:sz w:val="24"/>
          <w:szCs w:val="24"/>
        </w:rPr>
        <w:t xml:space="preserve"> terhadap perilaku tertentu dari individu,</w:t>
      </w:r>
      <w:r w:rsidR="0008722B">
        <w:rPr>
          <w:sz w:val="24"/>
          <w:szCs w:val="24"/>
        </w:rPr>
        <w:t xml:space="preserve"> </w:t>
      </w:r>
      <w:r>
        <w:rPr>
          <w:sz w:val="24"/>
          <w:szCs w:val="24"/>
        </w:rPr>
        <w:t>misalnya</w:t>
      </w:r>
      <w:r w:rsidR="00446CCE">
        <w:rPr>
          <w:sz w:val="24"/>
          <w:szCs w:val="24"/>
        </w:rPr>
        <w:t xml:space="preserve">: kepemilikan jenis tabungan dan investasi tertentu </w:t>
      </w:r>
      <w:r w:rsidR="00446CCE">
        <w:rPr>
          <w:sz w:val="24"/>
          <w:szCs w:val="24"/>
        </w:rPr>
        <w:fldChar w:fldCharType="begin" w:fldLock="1"/>
      </w:r>
      <w:r w:rsidR="00446CCE">
        <w:rPr>
          <w:sz w:val="24"/>
          <w:szCs w:val="24"/>
        </w:rPr>
        <w:instrText>ADDIN CSL_CITATION {"citationItems":[{"id":"ITEM-1","itemData":{"DOI":"10.1093/acprof:oso/9780199696819.003.0002","ISBN":"9780191732089","ISSN":"1556-5068","PMID":"25246403","abstract":"Only a minority of American households feels “confident” about retirement saving adequacy but little is known about why people fail to plan for retirement and whether planning and information costs might affect retirement saving patterns. To better understand these issues, we devised and fielded a purpose-built module on planning and financial literacy for the 2004 Health and Retirement Study (HRS). This module measures how workers make their saving decisions, how they collect the information for making these decisions, and whether they possess the financial literacy needed to make these decisions. Our analysis shows that financial illiteracy is widespread among older Americans: only half of the age 50+ respondents could correctly answer two simple questions regarding interest compounding and inflation, and only one-third correctly answered these two questions and a question about risk diversification. Women, minorities, and those without a college degree were particularly at risk of displaying low financial knowledge. We also evaluate whether people tried to figure out how much they need to save for retirement, whether they devised a plan, and whether they succeeded at the plan. In fact, these calculations prove to be difficult: fewer than one-third of our age 50+ respondents ever tried to devise a retirement plan, and only two-thirds of those who tried actually claim to have succeeded. Overall, fewer than one-fifth of the respondents believed they engaged in successful retirement planning. We also find that financial knowledge and planning are clearly interrelated: those who displayed financial knowledge were more likely to plan and to succeed in their planning. Moreover, those who did plan were more likely to rely on formal methods such as retirement calculators, retirement seminars, and financial experts, and less likely to rely on family/relatives or co-workers. Most importantly, those who display higher financial literacy are more likely to save and invest in complex assets, such as stocks.","author":[{"dropping-particle":"","family":"Mitchell","given":"Olivia S.","non-dropping-particle":"","parse-names":false,"suffix":""},{"dropping-particle":"","family":"Lusardi","given":"Annamaria","non-dropping-particle":"","parse-names":false,"suffix":""}],"container-title":"Financial Literacy: Implications for Retirement Security and the Financial Marketplace","id":"ITEM-1","issued":{"date-parts":[["2011"]]},"title":"Financial Literacy and Planning: Implications for Retirement Well-being","type":"chapter"},"uris":["http://www.mendeley.com/documents/?uuid=0fd10a0e-1204-45d7-825b-877ba8c4c409"]},{"id":"ITEM-2","itemData":{"DOI":"10.1111/j.1468-0297.2010.02395.x","ISBN":"1468-0297","ISSN":"00130133","PMID":"22228911","abstract":"This paper examines the extent to which cognitive abilities relate to differences in trajectories for key economic outcomes as individuals move towards and through their retirement. We look at whether differences in baseline numeracy (measured in the English Longitudinal Study of Ageing in 2002) and broader cognitive ability predict the subsequent trajectories of outcomes such as wealth, retirement income and key dimensions of retirement expectations. Those with lower numeracy are shown to have different wealth trajectories both pre- and post-retirement than their more numerate counterparts, but the distributions of retirement expectations and net replacement rates are similar across numeracy groups.","author":[{"dropping-particle":"","family":"Banks","given":"James","non-dropping-particle":"","parse-names":false,"suffix":""},{"dropping-particle":"","family":"O ’Dea","given":"Cormac","non-dropping-particle":"","parse-names":false,"suffix":""},{"dropping-particle":"","family":"Oldfield","given":"Zoë","non-dropping-particle":"","parse-names":false,"suffix":""}],"container-title":"The Economic Journal","id":"ITEM-2","issue":"548","issued":{"date-parts":[["2010","11"]]},"page":"F381-F410","title":"Cognitive Function, Numeracy and Retirement Saving Trajectories","type":"article-journal","volume":"120"},"uris":["http://www.mendeley.com/documents/?uuid=d6203c5a-e4b2-48d5-950e-ed21683951f8"]},{"id":"ITEM-3","itemData":{"DOI":"10.1016/j.econlet.2015.10.009","ISBN":"9188720411","ISSN":"01651765","PMID":"25653388","abstract":"Women participate less than men in the stock market and score lower on financial literacy. We explore the link between this gender gap in stock market participation and financial literacy. Using survey data on a random sample of 1300 individuals that is representative of the Swedish population, we show that the estimated gender gap in stock market participation diminishes when we control for basic financial literacy, essentially a measure of numeracy. A gender gap in risk taking remains significant also when controlling for financial literacy.","author":[{"dropping-particle":"","family":"Almenberg","given":"Johan","non-dropping-particle":"","parse-names":false,"suffix":""},{"dropping-particle":"","family":"Dreber","given":"Anna","non-dropping-particle":"","parse-names":false,"suffix":""}],"container-title":"Economics Letters","id":"ITEM-3","issued":{"date-parts":[["2015"]]},"page":"140-142","publisher":"Elsevier B.V.","title":"Gender, stock market participation and financial literacy","type":"article-journal","volume":"137"},"uris":["http://www.mendeley.com/documents/?uuid=f618849f-db11-4c25-9113-e4725e593766"]},{"id":"ITEM-4","itemData":{"DOI":"10.1628/001522117X14877521353555","ISBN":"0502216220","ISSN":"0015-2218","abstract":"Recent empirical literature provides evidence that financial literacy, human capital, ed- ucation, saving, and stock market participation are interconnected decisions. However, a consolidated theoretical explanation of such connections is missing. We contribute to this topic by building a framework that includes all these decisions in an encompassing model. We build a two-period model in which individuals acquire education, work, and save for retirement; financial literacy reduces the costs of managing risky assets available on the stock market. Our results, besides providing a theoretical foundation for the role and the determinants of the above-mentioned decisions, can also explain several stylized facts on literacy, human capital, and stock market participation.","author":[{"dropping-particle":"","family":"Spataro","given":"Luca","non-dropping-particle":"","parse-names":false,"suffix":""},{"dropping-particle":"","family":"Corsini","given":"Lorenzo","non-dropping-particle":"","parse-names":false,"suffix":""}],"container-title":"Public Finance Analysis","id":"ITEM-4","issue":"2","issued":{"date-parts":[["2017"]]},"page":"135-162","title":"Endogenous Financial Literacy, Saving, and Stock Market Participation","type":"article-journal","volume":"73"},"uris":["http://www.mendeley.com/documents/?uuid=a7c58d4d-8077-46c1-9b5e-f2de1cc0f07e"]},{"id":"ITEM-5","itemData":{"DOI":"10.1016/j.joep.2011.02.004","ISBN":"0167-4870","ISSN":"01674870","PMID":"25246403","abstract":"The complexity of financial decisions that households now face has increased to unprecedented levels. At the same time, households seem to lack the financial knowledge to cope with these decisions, including how to save and invest adequately for retirement. In this paper, we examine the relationship between financial knowledge and retirement planning in the Netherlands. For this purpose, we have designed a module on financial literacy and planning for the De Nederlandsche Bank (DNB) Household Survey. We find a strong and positive relationship between financial knowledge and retirement planning; those who are more financially knowledgeable are more likely to plan for retirement. Using information on economics education acquired in school, we show that the nexus of causality goes from financial literacy to planning rather than the other way around. © 2011 Elsevier B.V.","author":[{"dropping-particle":"","family":"Rooij","given":"Maarten C.J.","non-dropping-particle":"van","parse-names":false,"suffix":""},{"dropping-particle":"","family":"Lusardi","given":"Annamaria","non-dropping-particle":"","parse-names":false,"suffix":""},{"dropping-particle":"","family":"Alessie","given":"Rob J.M.","non-dropping-particle":"","parse-names":false,"suffix":""}],"container-title":"Journal of Economic Psychology","id":"ITEM-5","issue":"4","issued":{"date-parts":[["2011"]]},"page":"593-608","publisher":"Elsevier B.V.","title":"Financial literacy and retirement planning in the Netherlands","type":"article-journal","volume":"32"},"uris":["http://www.mendeley.com/documents/?uuid=f75b146a-2739-4fd5-b39c-040252dc97fd"]},{"id":"ITEM-6","itemData":{"DOI":"10.1016/j.jfineco.2011.03.006","ISBN":"0304-405X","ISSN":"0304405X","PMID":"61177662","abstract":"We have devised two special modules for De Nederlandsche Bank (DNB) Household Survey to measure financial literacy and study its relationship to stock market participation. We find that the majority of respondents display basic financial knowledge and have some grasp of concepts such as interest compounding, inflation, and the time value of money. However, very few go beyond these basic concepts; many respondents do not know the difference between bonds and stocks, the relationship between bond prices and interest rates, and the basics of risk diversification. Most importantly, we find that financial literacy affects financial decision-making: Those with low literacy are much less likely to invest in stocks. © 2011 Elsevier B.V.","author":[{"dropping-particle":"","family":"Rooij","given":"Maarten","non-dropping-particle":"van","parse-names":false,"suffix":""},{"dropping-particle":"","family":"Lusardi","given":"Annamaria","non-dropping-particle":"","parse-names":false,"suffix":""},{"dropping-particle":"","family":"Alessie","given":"Rob","non-dropping-particle":"","parse-names":false,"suffix":""}],"container-title":"Journal of Financial Economics","id":"ITEM-6","issue":"2","issued":{"date-parts":[["2011"]]},"page":"449-472","publisher":"Elsevier","title":"Financial literacy and stock market participation","type":"article-journal","volume":"101"},"uris":["http://www.mendeley.com/documents/?uuid=bc5af101-4723-4cc8-ac15-32515fb7b09d"]}],"mendeley":{"formattedCitation":"(Mitchell and Lusardi 2011; Banks, O ’Dea, and Oldfield 2010; Almenberg and Dreber 2015; Spataro and Corsini 2017; M. C. J. van Rooij, Lusardi, and Alessie 2011; M. van Rooij, Lusardi, and Alessie 2011)","manualFormatting":"(Mitchell dan Lusardi 2011; Banks, O ’Dea, dan Oldfield 2010; Almenberg dan Dreber 2015; Spataro dan Corsini 2017; M. C. J. van Rooij, Lusardi, dan Alessie 2011; M. van Rooij, Lusardi, dan Alessie 2011)","plainTextFormattedCitation":"(Mitchell and Lusardi 2011; Banks, O ’Dea, and Oldfield 2010; Almenberg and Dreber 2015; Spataro and Corsini 2017; M. C. J. van Rooij, Lusardi, and Alessie 2011; M. van Rooij, Lusardi, and Alessie 2011)","previouslyFormattedCitation":"(Mitchell and Lusardi 2011; Banks, O ’Dea, and Oldfield 2010; Almenberg and Dreber 2015; Spataro and Corsini 2017; M. C. J. van Rooij, Lusardi, and Alessie 2011; M. van Rooij, Lusardi, and Alessie 2011)"},"properties":{"noteIndex":0},"schema":"https://github.com/citation-style-language/schema/raw/master/csl-citation.json"}</w:instrText>
      </w:r>
      <w:r w:rsidR="00446CCE">
        <w:rPr>
          <w:sz w:val="24"/>
          <w:szCs w:val="24"/>
        </w:rPr>
        <w:fldChar w:fldCharType="separate"/>
      </w:r>
      <w:r w:rsidR="00446CCE" w:rsidRPr="0008722B">
        <w:rPr>
          <w:noProof/>
          <w:sz w:val="24"/>
          <w:szCs w:val="24"/>
        </w:rPr>
        <w:t xml:space="preserve">(Mitchell </w:t>
      </w:r>
      <w:r w:rsidR="00446CCE">
        <w:rPr>
          <w:noProof/>
          <w:sz w:val="24"/>
          <w:szCs w:val="24"/>
        </w:rPr>
        <w:t>dan</w:t>
      </w:r>
      <w:r w:rsidR="00446CCE" w:rsidRPr="0008722B">
        <w:rPr>
          <w:noProof/>
          <w:sz w:val="24"/>
          <w:szCs w:val="24"/>
        </w:rPr>
        <w:t xml:space="preserve"> Lusardi 2011; Banks, O ’Dea, </w:t>
      </w:r>
      <w:r w:rsidR="00446CCE">
        <w:rPr>
          <w:noProof/>
          <w:sz w:val="24"/>
          <w:szCs w:val="24"/>
        </w:rPr>
        <w:t>dan Oldfield 2010; Almenberg dan</w:t>
      </w:r>
      <w:r w:rsidR="00446CCE" w:rsidRPr="0008722B">
        <w:rPr>
          <w:noProof/>
          <w:sz w:val="24"/>
          <w:szCs w:val="24"/>
        </w:rPr>
        <w:t xml:space="preserve"> Dreber 2015; Spataro </w:t>
      </w:r>
      <w:r w:rsidR="00446CCE">
        <w:rPr>
          <w:noProof/>
          <w:sz w:val="24"/>
          <w:szCs w:val="24"/>
        </w:rPr>
        <w:t>dan</w:t>
      </w:r>
      <w:r w:rsidR="00446CCE" w:rsidRPr="0008722B">
        <w:rPr>
          <w:noProof/>
          <w:sz w:val="24"/>
          <w:szCs w:val="24"/>
        </w:rPr>
        <w:t xml:space="preserve"> Corsini 2017; M. C. J. van Rooij, Lusardi, </w:t>
      </w:r>
      <w:r w:rsidR="00446CCE">
        <w:rPr>
          <w:noProof/>
          <w:sz w:val="24"/>
          <w:szCs w:val="24"/>
        </w:rPr>
        <w:t>dan</w:t>
      </w:r>
      <w:r w:rsidR="00446CCE" w:rsidRPr="0008722B">
        <w:rPr>
          <w:noProof/>
          <w:sz w:val="24"/>
          <w:szCs w:val="24"/>
        </w:rPr>
        <w:t xml:space="preserve"> Alessie 2011; M. van Rooij, Lusardi, </w:t>
      </w:r>
      <w:r w:rsidR="00446CCE">
        <w:rPr>
          <w:noProof/>
          <w:sz w:val="24"/>
          <w:szCs w:val="24"/>
        </w:rPr>
        <w:t>dan</w:t>
      </w:r>
      <w:r w:rsidR="00446CCE" w:rsidRPr="0008722B">
        <w:rPr>
          <w:noProof/>
          <w:sz w:val="24"/>
          <w:szCs w:val="24"/>
        </w:rPr>
        <w:t xml:space="preserve"> Alessie 2011)</w:t>
      </w:r>
      <w:r w:rsidR="00446CCE">
        <w:rPr>
          <w:sz w:val="24"/>
          <w:szCs w:val="24"/>
        </w:rPr>
        <w:fldChar w:fldCharType="end"/>
      </w:r>
      <w:r w:rsidR="00446CCE">
        <w:rPr>
          <w:sz w:val="24"/>
          <w:szCs w:val="24"/>
        </w:rPr>
        <w:t xml:space="preserve">, </w:t>
      </w:r>
      <w:r>
        <w:rPr>
          <w:sz w:val="24"/>
          <w:szCs w:val="24"/>
        </w:rPr>
        <w:t>perilaku</w:t>
      </w:r>
      <w:r w:rsidR="00446CCE">
        <w:rPr>
          <w:sz w:val="24"/>
          <w:szCs w:val="24"/>
        </w:rPr>
        <w:t xml:space="preserve"> berhutang </w:t>
      </w:r>
      <w:r w:rsidR="00446CCE">
        <w:rPr>
          <w:sz w:val="24"/>
          <w:szCs w:val="24"/>
        </w:rPr>
        <w:fldChar w:fldCharType="begin" w:fldLock="1"/>
      </w:r>
      <w:r w:rsidR="00446CCE">
        <w:rPr>
          <w:sz w:val="24"/>
          <w:szCs w:val="24"/>
        </w:rPr>
        <w:instrText>ADDIN CSL_CITATION {"citationItems":[{"id":"ITEM-1","itemData":{"DOI":"10.1017/S1474747215000232","ISBN":"1474747215000","ISSN":"1474-7472","PMID":"25246403","abstract":"We analyze a national sample of Americans with respect to their debt literacy, financial experiences, and their judgments about the extent of their indebtedness. Debt literacy is a component of broader financial understanding that measures knowledge about debt and self-assessed financial knowledge. Financial experiences are the participants’ reported experiences with traditional borrowing, alternative borrowing, and investing. Overindebtedness is a self-reported measure. Debt literacy is low, with only about one-third of the population grasping the basics of interest compounding. Even after controlling for demographics, we find a relationship between debt literacy and both financial experiences and debt loads. Individuals with lower levels of debt literacy tend to transact in high-cost manners, incurring higher fees and using high-cost borrowing. We provide a rough estimate of the national implications of debt ignorance on credit card costs by consumers. Less knowledgeable individuals also report that their debt loads are excessive or that they are unable to judge their debt position.","author":[{"dropping-particle":"","family":"Lusardi","given":"Annamaria","non-dropping-particle":"","parse-names":false,"suffix":""},{"dropping-particle":"","family":"Tufano","given":"Peter","non-dropping-particle":"","parse-names":false,"suffix":""}],"container-title":"Journal of Pension Economics and Finance","id":"ITEM-1","issue":"04","issued":{"date-parts":[["2015"]]},"page":"332-368","title":"Debt literacy, financial experiences, and overindebtedness","type":"article-journal","volume":"14"},"uris":["http://www.mendeley.com/documents/?uuid=857f702b-9fe7-49d1-8d5f-6812f1c0b72d"]},{"id":"ITEM-2","itemData":{"author":[{"dropping-particle":"","family":"Stango","given":"Victor","non-dropping-particle":"","parse-names":false,"suffix":""},{"dropping-particle":"","family":"Zinman","given":"Jonathan","non-dropping-particle":"","parse-names":false,"suffix":""}],"id":"ITEM-2","issue":"6","issued":{"date-parts":[["2017"]]},"page":"2807-2849","title":"Published by : Wiley for the American Finance Association Exponential Growth Bias and Household Finance","type":"article-journal","volume":"64"},"uris":["http://www.mendeley.com/documents/?uuid=b8babb62-7d8d-4952-b9ad-c625859b4fa8"]}],"mendeley":{"formattedCitation":"(Lusardi and Tufano 2015; Stango and Zinman 2017)","manualFormatting":"(Lusardi dan Tufano 2015; Stango dan Zinman 2017)","plainTextFormattedCitation":"(Lusardi and Tufano 2015; Stango and Zinman 2017)","previouslyFormattedCitation":"(Lusardi and Tufano 2015; Stango and Zinman 2017)"},"properties":{"noteIndex":0},"schema":"https://github.com/citation-style-language/schema/raw/master/csl-citation.json"}</w:instrText>
      </w:r>
      <w:r w:rsidR="00446CCE">
        <w:rPr>
          <w:sz w:val="24"/>
          <w:szCs w:val="24"/>
        </w:rPr>
        <w:fldChar w:fldCharType="separate"/>
      </w:r>
      <w:r w:rsidR="00446CCE" w:rsidRPr="0008722B">
        <w:rPr>
          <w:noProof/>
          <w:sz w:val="24"/>
          <w:szCs w:val="24"/>
        </w:rPr>
        <w:t xml:space="preserve">(Lusardi </w:t>
      </w:r>
      <w:r w:rsidR="00446CCE">
        <w:rPr>
          <w:noProof/>
          <w:sz w:val="24"/>
          <w:szCs w:val="24"/>
        </w:rPr>
        <w:t>dan</w:t>
      </w:r>
      <w:r w:rsidR="00446CCE" w:rsidRPr="0008722B">
        <w:rPr>
          <w:noProof/>
          <w:sz w:val="24"/>
          <w:szCs w:val="24"/>
        </w:rPr>
        <w:t xml:space="preserve"> Tufano 2015; Stango </w:t>
      </w:r>
      <w:r w:rsidR="00446CCE">
        <w:rPr>
          <w:noProof/>
          <w:sz w:val="24"/>
          <w:szCs w:val="24"/>
        </w:rPr>
        <w:t>dan</w:t>
      </w:r>
      <w:r w:rsidR="00446CCE" w:rsidRPr="0008722B">
        <w:rPr>
          <w:noProof/>
          <w:sz w:val="24"/>
          <w:szCs w:val="24"/>
        </w:rPr>
        <w:t xml:space="preserve"> Zinman 2017)</w:t>
      </w:r>
      <w:r w:rsidR="00446CCE">
        <w:rPr>
          <w:sz w:val="24"/>
          <w:szCs w:val="24"/>
        </w:rPr>
        <w:fldChar w:fldCharType="end"/>
      </w:r>
      <w:r w:rsidR="00446CCE">
        <w:rPr>
          <w:sz w:val="24"/>
          <w:szCs w:val="24"/>
        </w:rPr>
        <w:t xml:space="preserve">; </w:t>
      </w:r>
      <w:r>
        <w:rPr>
          <w:sz w:val="24"/>
          <w:szCs w:val="24"/>
        </w:rPr>
        <w:t>a</w:t>
      </w:r>
      <w:r w:rsidR="00446CCE" w:rsidRPr="003D58F7">
        <w:rPr>
          <w:sz w:val="24"/>
          <w:szCs w:val="24"/>
        </w:rPr>
        <w:t>lokasi pendapatan untuk keperlua</w:t>
      </w:r>
      <w:r>
        <w:rPr>
          <w:sz w:val="24"/>
          <w:szCs w:val="24"/>
        </w:rPr>
        <w:t>n konsumsi, tabungan, investasi</w:t>
      </w:r>
      <w:r w:rsidR="00446CCE">
        <w:rPr>
          <w:sz w:val="24"/>
          <w:szCs w:val="24"/>
        </w:rPr>
        <w:t xml:space="preserve"> </w:t>
      </w:r>
      <w:r w:rsidR="00446CCE">
        <w:rPr>
          <w:sz w:val="24"/>
          <w:szCs w:val="24"/>
        </w:rPr>
        <w:fldChar w:fldCharType="begin" w:fldLock="1"/>
      </w:r>
      <w:r w:rsidR="00446CCE">
        <w:rPr>
          <w:sz w:val="24"/>
          <w:szCs w:val="24"/>
        </w:rPr>
        <w:instrText>ADDIN CSL_CITATION {"citationItems":[{"id":"ITEM-1","itemData":{"DOI":"10.1016/j.jfineco.2011.03.006","ISBN":"0304-405X","ISSN":"0304405X","PMID":"61177662","abstract":"We have devised two special modules for De Nederlandsche Bank (DNB) Household Survey to measure financial literacy and study its relationship to stock market participation. We find that the majority of respondents display basic financial knowledge and have some grasp of concepts such as interest compounding, inflation, and the time value of money. However, very few go beyond these basic concepts; many respondents do not know the difference between bonds and stocks, the relationship between bond prices and interest rates, and the basics of risk diversification. Most importantly, we find that financial literacy affects financial decision-making: Those with low literacy are much less likely to invest in stocks. © 2011 Elsevier B.V.","author":[{"dropping-particle":"","family":"Rooij","given":"Maarten","non-dropping-particle":"van","parse-names":false,"suffix":""},{"dropping-particle":"","family":"Lusardi","given":"Annamaria","non-dropping-particle":"","parse-names":false,"suffix":""},{"dropping-particle":"","family":"Alessie","given":"Rob","non-dropping-particle":"","parse-names":false,"suffix":""}],"container-title":"Journal of Financial Economics","id":"ITEM-1","issue":"2","issued":{"date-parts":[["2011"]]},"page":"449-472","publisher":"Elsevier","title":"Financial literacy and stock market participation","type":"article-journal","volume":"101"},"uris":["http://www.mendeley.com/documents/?uuid=bc5af101-4723-4cc8-ac15-32515fb7b09d"]},{"id":"ITEM-2","itemData":{"ISSN":"1533-3604","abstract":"Page 71 Journal of Economics and Economic Education Research, Volume 11, Number 3, 2010 COMPARATIVE ANALYSIS OF THE LEVELS OF FINANCIAL LITERACY AMONG STUDENTS IN THE U.S., BELARUS, AND JAPAN Sergey Borodich, Drury University Svetlana Deplazes, University of Kansas Nadzeya Kardash, University of Kansas Alexander Kovzik, Universit y of Wisconsin Oshkosh ABSTRACT This paper examines levels of financial literacy across studen ts in the US, Belarus, and Japan. A cross country comparative analysis of the levels of financia l literacy was conducted using descriptive statistics, correlation analysis , and hypothesis testing. We find that Japanese students, overall, outscored al l others in the sample regardless of coursework in personal finance or grade level. Belarusian high school students performed on a par with US high school students without a separate personal finance cl ass and both were outscored by Belarusian college students. Students across all three nations demonstr ated highest achievement on the topic of Earning Income and lowest achieve ment on the topic of Saving. Results by cognitive levels demonstrate that bo th Belarusian and Japanese students performed better at the knowledge level wh ile American students generally scored higher at the application level.","author":[{"dropping-particle":"","family":"Borodich","given":"Sergey","non-dropping-particle":"","parse-names":false,"suffix":""},{"dropping-particle":"","family":"Deplazes","given":"Svetlana","non-dropping-particle":"","parse-names":false,"suffix":""},{"dropping-particle":"","family":"Kardash","given":"Nadzeya","non-dropping-particle":"","parse-names":false,"suffix":""},{"dropping-particle":"","family":"Kovzik","given":"Alexander","non-dropping-particle":"","parse-names":false,"suffix":""},{"dropping-particle":"","family":"Oshkosh","given":"","non-dropping-particle":"","parse-names":false,"suffix":""}],"container-title":"Journal Of Economics &amp; Economic Education Research","id":"ITEM-2","issue":"3","issued":{"date-parts":[["2010"]]},"page":"71-86","title":"Comparative Analysis of the Levels of Financial Literacy Among Students in the U.S., Belarus, and Japan","type":"article-journal","volume":"11"},"uris":["http://www.mendeley.com/documents/?uuid=8a4eb16d-7f84-4fe2-ba7e-80f557058902"]},{"id":"ITEM-3","itemData":{"DOI":"10.3386/w14538","ISBN":"9788578110796","ISSN":"1098-6596","PMID":"25246403","abstract":"We use responses to a survey and experiment with participants in Mexico's privatized social security system to examine how financial literacy impacts workers' choice behavior and how simplifying information on management fees may increase measures of price elasticity sensitivity among the financially illiterate. We find that by presenting fees in pesos instead of annual percentage rates, financially illiterate workers focus much more on fees when choosing between investment funds, selecting funds with lower average fees in hypothetical choice settings. Even though changes in information have small impacts on fees of the selected fund, holding fees constant, we show that changes in choice behavior imply a substantial increase in price sensitivity. Hence, the way in which information is presented to workers can have a substantial impact on optimal fees that firms can charge in the marketplace.","author":[{"dropping-particle":"","family":"Hastings","given":"Justine","non-dropping-particle":"","parse-names":false,"suffix":""},{"dropping-particle":"","family":"Tejeda-Ashton","given":"Lydia","non-dropping-particle":"","parse-names":false,"suffix":""}],"container-title":"NBER Working Paper No.14538","id":"ITEM-3","issued":{"date-parts":[["2008","12"]]},"number-of-pages":"1 - 35","publisher-place":"Cambridge, MA","title":"Financial Literacy, Information, and Demand Elasticity: Survey and Experimental Evidence from Mexico","type":"report"},"uris":["http://www.mendeley.com/documents/?uuid=b5fd8892-b321-4ba2-ac21-a496dd0c3bf6"]}],"mendeley":{"formattedCitation":"(M. van Rooij, Lusardi, and Alessie 2011; Borodich et al. 2010; Hastings and Tejeda-Ashton 2008)","manualFormatting":"(van Rooij, Lusardi, dan Alessie 2011; Borodich et al. 2010; Hastings dan Tejeda-Ashton 2008)","plainTextFormattedCitation":"(M. van Rooij, Lusardi, and Alessie 2011; Borodich et al. 2010; Hastings and Tejeda-Ashton 2008)","previouslyFormattedCitation":"(M. van Rooij, Lusardi, and Alessie 2011; Borodich et al. 2010; Hastings and Tejeda-Ashton 2008)"},"properties":{"noteIndex":0},"schema":"https://github.com/citation-style-language/schema/raw/master/csl-citation.json"}</w:instrText>
      </w:r>
      <w:r w:rsidR="00446CCE">
        <w:rPr>
          <w:sz w:val="24"/>
          <w:szCs w:val="24"/>
        </w:rPr>
        <w:fldChar w:fldCharType="separate"/>
      </w:r>
      <w:r w:rsidR="00446CCE" w:rsidRPr="0008722B">
        <w:rPr>
          <w:noProof/>
          <w:sz w:val="24"/>
          <w:szCs w:val="24"/>
        </w:rPr>
        <w:t xml:space="preserve">(van Rooij, Lusardi, </w:t>
      </w:r>
      <w:r w:rsidR="00446CCE">
        <w:rPr>
          <w:noProof/>
          <w:sz w:val="24"/>
          <w:szCs w:val="24"/>
        </w:rPr>
        <w:t>dan</w:t>
      </w:r>
      <w:r w:rsidR="00446CCE" w:rsidRPr="0008722B">
        <w:rPr>
          <w:noProof/>
          <w:sz w:val="24"/>
          <w:szCs w:val="24"/>
        </w:rPr>
        <w:t xml:space="preserve"> Alessie 2011; Borodich et al. 2010; Hastings </w:t>
      </w:r>
      <w:r w:rsidR="00446CCE">
        <w:rPr>
          <w:noProof/>
          <w:sz w:val="24"/>
          <w:szCs w:val="24"/>
        </w:rPr>
        <w:t>dan</w:t>
      </w:r>
      <w:r w:rsidR="00446CCE" w:rsidRPr="0008722B">
        <w:rPr>
          <w:noProof/>
          <w:sz w:val="24"/>
          <w:szCs w:val="24"/>
        </w:rPr>
        <w:t xml:space="preserve"> Tejeda-Ashton 2008)</w:t>
      </w:r>
      <w:r w:rsidR="00446CCE">
        <w:rPr>
          <w:sz w:val="24"/>
          <w:szCs w:val="24"/>
        </w:rPr>
        <w:fldChar w:fldCharType="end"/>
      </w:r>
      <w:r w:rsidR="008702E0">
        <w:rPr>
          <w:sz w:val="24"/>
          <w:szCs w:val="24"/>
        </w:rPr>
        <w:t xml:space="preserve">. </w:t>
      </w:r>
      <w:r>
        <w:rPr>
          <w:sz w:val="24"/>
          <w:szCs w:val="24"/>
        </w:rPr>
        <w:t>S</w:t>
      </w:r>
      <w:r w:rsidR="00446CCE">
        <w:rPr>
          <w:sz w:val="24"/>
          <w:szCs w:val="24"/>
        </w:rPr>
        <w:t xml:space="preserve">emakin baik literasi keuangan individu maka ia memiliki </w:t>
      </w:r>
      <w:r>
        <w:rPr>
          <w:sz w:val="24"/>
          <w:szCs w:val="24"/>
        </w:rPr>
        <w:t xml:space="preserve">perilaku </w:t>
      </w:r>
      <w:r w:rsidR="00446CCE">
        <w:rPr>
          <w:sz w:val="24"/>
          <w:szCs w:val="24"/>
        </w:rPr>
        <w:t>keuangan yang juga lebih baik.</w:t>
      </w:r>
    </w:p>
    <w:p w:rsidR="00446CCE" w:rsidRDefault="00446CCE" w:rsidP="00446CCE">
      <w:pPr>
        <w:spacing w:line="360" w:lineRule="auto"/>
        <w:ind w:right="113" w:firstLine="588"/>
        <w:jc w:val="both"/>
        <w:rPr>
          <w:sz w:val="24"/>
          <w:szCs w:val="24"/>
        </w:rPr>
      </w:pPr>
      <w:r>
        <w:rPr>
          <w:sz w:val="24"/>
          <w:szCs w:val="24"/>
        </w:rPr>
        <w:t xml:space="preserve">Secara khusus, pengaruh literasi keuangan terhadap </w:t>
      </w:r>
      <w:r w:rsidR="004715A1">
        <w:rPr>
          <w:sz w:val="24"/>
          <w:szCs w:val="24"/>
        </w:rPr>
        <w:t>pengambilan keputusan untuk</w:t>
      </w:r>
      <w:r>
        <w:rPr>
          <w:sz w:val="24"/>
          <w:szCs w:val="24"/>
        </w:rPr>
        <w:t xml:space="preserve"> </w:t>
      </w:r>
      <w:r w:rsidR="0008722B">
        <w:rPr>
          <w:sz w:val="24"/>
          <w:szCs w:val="24"/>
        </w:rPr>
        <w:t>berkonsultasi dengan profesional</w:t>
      </w:r>
      <w:r>
        <w:rPr>
          <w:sz w:val="24"/>
          <w:szCs w:val="24"/>
        </w:rPr>
        <w:t xml:space="preserve"> menunjukkan dua pola yang berbeda.</w:t>
      </w:r>
      <w:r>
        <w:rPr>
          <w:sz w:val="24"/>
          <w:szCs w:val="24"/>
        </w:rPr>
        <w:fldChar w:fldCharType="begin" w:fldLock="1"/>
      </w:r>
      <w:r w:rsidR="00E81A6D">
        <w:rPr>
          <w:sz w:val="24"/>
          <w:szCs w:val="24"/>
        </w:rPr>
        <w:instrText>ADDIN CSL_CITATION {"citationItems":[{"id":"ITEM-1","itemData":{"DOI":"10.1016/j.jfineco.2011.03.006","ISBN":"0304-405X","ISSN":"0304405X","PMID":"61177662","abstract":"We have devised two special modules for De Nederlandsche Bank (DNB) Household Survey to measure financial literacy and study its relationship to stock market participation. We find that the majority of respondents display basic financial knowledge and have some grasp of concepts such as interest compounding, inflation, and the time value of money. However, very few go beyond these basic concepts; many respondents do not know the difference between bonds and stocks, the relationship between bond prices and interest rates, and the basics of risk diversification. Most importantly, we find that financial literacy affects financial decision-making: Those with low literacy are much less likely to invest in stocks. © 2011 Elsevier B.V.","author":[{"dropping-particle":"","family":"Rooij","given":"Maarten","non-dropping-particle":"van","parse-names":false,"suffix":""},{"dropping-particle":"","family":"Lusardi","given":"Annamaria","non-dropping-particle":"","parse-names":false,"suffix":""},{"dropping-particle":"","family":"Alessie","given":"Rob","non-dropping-particle":"","parse-names":false,"suffix":""}],"container-title":"Journal of Financial Economics","id":"ITEM-1","issue":"2","issued":{"date-parts":[["2011"]]},"page":"449-472","publisher":"Elsevier","title":"Financial literacy and stock market participation","type":"article-journal","volume":"101"},"uris":["http://www.mendeley.com/documents/?uuid=bc5af101-4723-4cc8-ac15-32515fb7b09d"]}],"mendeley":{"formattedCitation":"(M. van Rooij, Lusardi, and Alessie 2011)","manualFormatting":" van Rooij, Lusardi, dan Alessie (2011)","plainTextFormattedCitation":"(M. van Rooij, Lusardi, and Alessie 2011)","previouslyFormattedCitation":"(M. van Rooij, Lusardi, and Alessie 2011)"},"properties":{"noteIndex":0},"schema":"https://github.com/citation-style-language/schema/raw/master/csl-citation.json"}</w:instrText>
      </w:r>
      <w:r>
        <w:rPr>
          <w:sz w:val="24"/>
          <w:szCs w:val="24"/>
        </w:rPr>
        <w:fldChar w:fldCharType="separate"/>
      </w:r>
      <w:r w:rsidRPr="00446CCE">
        <w:rPr>
          <w:noProof/>
          <w:sz w:val="24"/>
          <w:szCs w:val="24"/>
        </w:rPr>
        <w:t xml:space="preserve"> van Rooij, Lusardi, </w:t>
      </w:r>
      <w:r w:rsidR="00003A85">
        <w:rPr>
          <w:noProof/>
          <w:sz w:val="24"/>
          <w:szCs w:val="24"/>
        </w:rPr>
        <w:t>dan</w:t>
      </w:r>
      <w:r w:rsidRPr="00446CCE">
        <w:rPr>
          <w:noProof/>
          <w:sz w:val="24"/>
          <w:szCs w:val="24"/>
        </w:rPr>
        <w:t xml:space="preserve"> Alessie </w:t>
      </w:r>
      <w:r w:rsidR="00003A85">
        <w:rPr>
          <w:noProof/>
          <w:sz w:val="24"/>
          <w:szCs w:val="24"/>
        </w:rPr>
        <w:t>(</w:t>
      </w:r>
      <w:r w:rsidRPr="00446CCE">
        <w:rPr>
          <w:noProof/>
          <w:sz w:val="24"/>
          <w:szCs w:val="24"/>
        </w:rPr>
        <w:t>2011)</w:t>
      </w:r>
      <w:r>
        <w:rPr>
          <w:sz w:val="24"/>
          <w:szCs w:val="24"/>
        </w:rPr>
        <w:fldChar w:fldCharType="end"/>
      </w:r>
      <w:r w:rsidR="00003A85">
        <w:rPr>
          <w:sz w:val="24"/>
          <w:szCs w:val="24"/>
        </w:rPr>
        <w:t xml:space="preserve"> menemukan bahwa individu dengan literasi keuangan yang lebih tinggi cenderung mengandalkan sumber informasi formal dalam me</w:t>
      </w:r>
      <w:r w:rsidR="00356B6B">
        <w:rPr>
          <w:sz w:val="24"/>
          <w:szCs w:val="24"/>
        </w:rPr>
        <w:t>m</w:t>
      </w:r>
      <w:r w:rsidR="00003A85">
        <w:rPr>
          <w:sz w:val="24"/>
          <w:szCs w:val="24"/>
        </w:rPr>
        <w:t>bua</w:t>
      </w:r>
      <w:r w:rsidR="00425BD6">
        <w:rPr>
          <w:sz w:val="24"/>
          <w:szCs w:val="24"/>
        </w:rPr>
        <w:t xml:space="preserve">t keputusan keuangan misalnya: </w:t>
      </w:r>
      <w:r w:rsidR="001E47F4">
        <w:rPr>
          <w:sz w:val="24"/>
          <w:szCs w:val="24"/>
        </w:rPr>
        <w:t xml:space="preserve">berkonsultasi dengan </w:t>
      </w:r>
      <w:r w:rsidR="00425BD6">
        <w:rPr>
          <w:sz w:val="24"/>
          <w:szCs w:val="24"/>
        </w:rPr>
        <w:t xml:space="preserve">konsultan </w:t>
      </w:r>
      <w:r w:rsidR="00003A85">
        <w:rPr>
          <w:sz w:val="24"/>
          <w:szCs w:val="24"/>
        </w:rPr>
        <w:t xml:space="preserve">keuangan, </w:t>
      </w:r>
      <w:r w:rsidR="00425BD6">
        <w:rPr>
          <w:sz w:val="24"/>
          <w:szCs w:val="24"/>
        </w:rPr>
        <w:t xml:space="preserve">informasi keuangan di internet, buku dan majalah keuangan </w:t>
      </w:r>
      <w:r w:rsidR="00425BD6">
        <w:rPr>
          <w:sz w:val="24"/>
          <w:szCs w:val="24"/>
        </w:rPr>
        <w:lastRenderedPageBreak/>
        <w:t xml:space="preserve">dibandingkan informasi informal yang berasal dari orangtua, teman maupun kenalan. Sumber informasi formal dianggap lebih dapat dipercaya dibanding informasi dari orang per orang </w:t>
      </w:r>
      <w:r w:rsidR="00E11FEA">
        <w:rPr>
          <w:sz w:val="24"/>
          <w:szCs w:val="24"/>
        </w:rPr>
        <w:t xml:space="preserve">awam </w:t>
      </w:r>
      <w:r w:rsidR="00425BD6">
        <w:rPr>
          <w:sz w:val="24"/>
          <w:szCs w:val="24"/>
        </w:rPr>
        <w:t xml:space="preserve">yang </w:t>
      </w:r>
      <w:r w:rsidR="00E11FEA">
        <w:rPr>
          <w:sz w:val="24"/>
          <w:szCs w:val="24"/>
        </w:rPr>
        <w:t>bersifat s</w:t>
      </w:r>
      <w:r w:rsidR="00425BD6">
        <w:rPr>
          <w:sz w:val="24"/>
          <w:szCs w:val="24"/>
        </w:rPr>
        <w:t>a</w:t>
      </w:r>
      <w:r w:rsidR="00E11FEA">
        <w:rPr>
          <w:sz w:val="24"/>
          <w:szCs w:val="24"/>
        </w:rPr>
        <w:t>n</w:t>
      </w:r>
      <w:r w:rsidR="00425BD6">
        <w:rPr>
          <w:sz w:val="24"/>
          <w:szCs w:val="24"/>
        </w:rPr>
        <w:t>gat subjektif.</w:t>
      </w:r>
    </w:p>
    <w:p w:rsidR="00425BD6" w:rsidRDefault="00425BD6" w:rsidP="00E11FEA">
      <w:pPr>
        <w:spacing w:line="360" w:lineRule="auto"/>
        <w:ind w:right="113" w:firstLine="588"/>
        <w:jc w:val="both"/>
        <w:rPr>
          <w:sz w:val="24"/>
          <w:szCs w:val="24"/>
        </w:rPr>
      </w:pPr>
      <w:r>
        <w:rPr>
          <w:sz w:val="24"/>
          <w:szCs w:val="24"/>
        </w:rPr>
        <w:t xml:space="preserve">Meski begitu, </w:t>
      </w:r>
      <w:r w:rsidR="00E11FEA">
        <w:rPr>
          <w:sz w:val="24"/>
          <w:szCs w:val="24"/>
        </w:rPr>
        <w:fldChar w:fldCharType="begin" w:fldLock="1"/>
      </w:r>
      <w:r w:rsidR="00E11FEA">
        <w:rPr>
          <w:sz w:val="24"/>
          <w:szCs w:val="24"/>
        </w:rPr>
        <w:instrText>ADDIN CSL_CITATION {"citationItems":[{"id":"ITEM-1","itemData":{"DOI":"10.2139/ssrn.1532993","ISSN":"1556-5068","abstract":"When do individuals actually improve their financial behavior in response to advice? Using survey data from current defined-contribution plan holders in the RAND American Life Panel (a probability sample of US households), the authors find little evidence of improved DC plan behaviors due to advice, although they cannot rule out problems of reverse causality and selection. To complement the analysis of survey data, they design and implement a hypothetical choice experiment in which ALP respondents are asked to perform a portfolio allocation task, with or without advice. Their results show that unsolicited advice has no effect on investment behavior, in terms of behavioral outcomes. However, individuals who actively solicit advice ultimately improve performance, in spite of negative selection on financial ability. One interesting implication for policymakers is that expanding access to advice can have positive effects (particularly for the less financially literate); however, more extensive compulsory programs of financial counseling may be ultimately ineffective.","author":[{"dropping-particle":"","family":"Hung","given":"Angela","non-dropping-particle":"","parse-names":false,"suffix":""},{"dropping-particle":"","family":"Yoong","given":"Joanne","non-dropping-particle":"","parse-names":false,"suffix":""}],"container-title":"SSRN","id":"ITEM-1","issued":{"date-parts":[["2010"]]},"title":"Asking for Help: Survey and Experimental Evidence on Financial Advice and Behavior Change","type":"report"},"uris":["http://www.mendeley.com/documents/?uuid=4f6b1242-7193-491e-aef7-b8edf843df4e"]}],"mendeley":{"formattedCitation":"(Hung and Yoong 2010)","manualFormatting":"Hung dan Yoong (2010)","plainTextFormattedCitation":"(Hung and Yoong 2010)","previouslyFormattedCitation":"(Hung and Yoong 2010)"},"properties":{"noteIndex":0},"schema":"https://github.com/citation-style-language/schema/raw/master/csl-citation.json"}</w:instrText>
      </w:r>
      <w:r w:rsidR="00E11FEA">
        <w:rPr>
          <w:sz w:val="24"/>
          <w:szCs w:val="24"/>
        </w:rPr>
        <w:fldChar w:fldCharType="separate"/>
      </w:r>
      <w:r w:rsidR="00E11FEA" w:rsidRPr="00E81A6D">
        <w:rPr>
          <w:noProof/>
          <w:sz w:val="24"/>
          <w:szCs w:val="24"/>
        </w:rPr>
        <w:t xml:space="preserve">Hung </w:t>
      </w:r>
      <w:r w:rsidR="00E11FEA">
        <w:rPr>
          <w:noProof/>
          <w:sz w:val="24"/>
          <w:szCs w:val="24"/>
        </w:rPr>
        <w:t xml:space="preserve">dan </w:t>
      </w:r>
      <w:r w:rsidR="00E11FEA" w:rsidRPr="00E81A6D">
        <w:rPr>
          <w:noProof/>
          <w:sz w:val="24"/>
          <w:szCs w:val="24"/>
        </w:rPr>
        <w:t xml:space="preserve">Yoong </w:t>
      </w:r>
      <w:r w:rsidR="00E11FEA">
        <w:rPr>
          <w:noProof/>
          <w:sz w:val="24"/>
          <w:szCs w:val="24"/>
        </w:rPr>
        <w:t>(</w:t>
      </w:r>
      <w:r w:rsidR="00E11FEA" w:rsidRPr="00E81A6D">
        <w:rPr>
          <w:noProof/>
          <w:sz w:val="24"/>
          <w:szCs w:val="24"/>
        </w:rPr>
        <w:t>2010)</w:t>
      </w:r>
      <w:r w:rsidR="00E11FEA">
        <w:rPr>
          <w:sz w:val="24"/>
          <w:szCs w:val="24"/>
        </w:rPr>
        <w:fldChar w:fldCharType="end"/>
      </w:r>
      <w:r w:rsidR="00E11FEA">
        <w:rPr>
          <w:sz w:val="24"/>
          <w:szCs w:val="24"/>
        </w:rPr>
        <w:t xml:space="preserve"> menemukan bahwa i</w:t>
      </w:r>
      <w:r>
        <w:rPr>
          <w:sz w:val="24"/>
          <w:szCs w:val="24"/>
        </w:rPr>
        <w:t xml:space="preserve">ndividu dengan tingkat literasi keuangan </w:t>
      </w:r>
      <w:r w:rsidR="00E81A6D">
        <w:rPr>
          <w:sz w:val="24"/>
          <w:szCs w:val="24"/>
        </w:rPr>
        <w:t xml:space="preserve">rendah justru paling membutuhkan peran konsultan profesional. Dan individu dengan tingkat literasi keuangan </w:t>
      </w:r>
      <w:r>
        <w:rPr>
          <w:sz w:val="24"/>
          <w:szCs w:val="24"/>
        </w:rPr>
        <w:t>tinggi telah memilik</w:t>
      </w:r>
      <w:r w:rsidRPr="00425BD6">
        <w:rPr>
          <w:sz w:val="24"/>
          <w:szCs w:val="24"/>
        </w:rPr>
        <w:t>i pemahaman yang efektif tent</w:t>
      </w:r>
      <w:r>
        <w:rPr>
          <w:sz w:val="24"/>
          <w:szCs w:val="24"/>
        </w:rPr>
        <w:t xml:space="preserve">ang produk dan konsep keuangan sehingga </w:t>
      </w:r>
      <w:r w:rsidRPr="00425BD6">
        <w:rPr>
          <w:sz w:val="24"/>
          <w:szCs w:val="24"/>
        </w:rPr>
        <w:t xml:space="preserve">lebih sedikit membutuhkan </w:t>
      </w:r>
      <w:r>
        <w:rPr>
          <w:sz w:val="24"/>
          <w:szCs w:val="24"/>
        </w:rPr>
        <w:t>peran konsultan</w:t>
      </w:r>
      <w:r w:rsidRPr="00425BD6">
        <w:rPr>
          <w:sz w:val="24"/>
          <w:szCs w:val="24"/>
        </w:rPr>
        <w:t xml:space="preserve"> keuangan</w:t>
      </w:r>
      <w:r w:rsidR="0027416F">
        <w:rPr>
          <w:sz w:val="24"/>
          <w:szCs w:val="24"/>
        </w:rPr>
        <w:t>.</w:t>
      </w:r>
    </w:p>
    <w:p w:rsidR="009F5766" w:rsidRDefault="009F5766" w:rsidP="009F5766">
      <w:pPr>
        <w:spacing w:line="360" w:lineRule="auto"/>
        <w:ind w:right="113" w:firstLine="588"/>
        <w:jc w:val="both"/>
        <w:rPr>
          <w:sz w:val="24"/>
          <w:szCs w:val="24"/>
        </w:rPr>
      </w:pPr>
      <w:r>
        <w:rPr>
          <w:sz w:val="24"/>
          <w:szCs w:val="24"/>
        </w:rPr>
        <w:fldChar w:fldCharType="begin" w:fldLock="1"/>
      </w:r>
      <w:r w:rsidR="00FC5614">
        <w:rPr>
          <w:sz w:val="24"/>
          <w:szCs w:val="24"/>
        </w:rPr>
        <w:instrText>ADDIN CSL_CITATION {"citationItems":[{"id":"ITEM-1","itemData":{"DOI":"10.1007/s11573-017-0853-9","ISSN":"18618928","abstract":"In this survey, we review the voluminous body of literature on the measurement and the determinants of financial literacy. Wherever possible, we supplement existing findings with recent descriptive evidence of German households’ financial literacy levels based on the novel Panel on Household Finances dataset, a large-scale survey administered by the Deutsche Bundesbank and representative of the financial situation of households in Germany. Prior research not only documents generally low levels of financial literacy but also finds large heterogeneity in financial literacy across the population, suggesting that economically vulnerable groups are placed at further disadvantage by their lack of financial knowledge. In addition, we assess the literature evaluating financial education as a means to improve financial literacy and financial behavior. Our survey suggests that the evidence with respect to the effectiveness of the programs is rather disappointing. We also review the role of individuals’ financial literacy for the use of professional financial advice and assess whether expert intervention can serve as a substitute to financial literacy. We conclude by discussing several directions for future research.","author":[{"dropping-particle":"","family":"Stolper","given":"Oscar A.","non-dropping-particle":"","parse-names":false,"suffix":""},{"dropping-particle":"","family":"Walter","given":"Andreas","non-dropping-particle":"","parse-names":false,"suffix":""}],"container-title":"Journal of Business Economics","id":"ITEM-1","issue":"5","issued":{"date-parts":[["2017"]]},"page":"581-643","publisher":"Springer Berlin Heidelberg","title":"Financial literacy, financial advice, and financial behavior","type":"article-journal","volume":"87"},"uris":["http://www.mendeley.com/documents/?uuid=883d27b3-2f4f-4762-955c-254b083368bc"]}],"mendeley":{"formattedCitation":"(Stolper and Walter 2017)","manualFormatting":"Stolper dan Walter (2017)","plainTextFormattedCitation":"(Stolper and Walter 2017)","previouslyFormattedCitation":"(Stolper and Walter 2017)"},"properties":{"noteIndex":0},"schema":"https://github.com/citation-style-language/schema/raw/master/csl-citation.json"}</w:instrText>
      </w:r>
      <w:r>
        <w:rPr>
          <w:sz w:val="24"/>
          <w:szCs w:val="24"/>
        </w:rPr>
        <w:fldChar w:fldCharType="separate"/>
      </w:r>
      <w:r>
        <w:rPr>
          <w:noProof/>
          <w:sz w:val="24"/>
          <w:szCs w:val="24"/>
        </w:rPr>
        <w:t xml:space="preserve">Stolper </w:t>
      </w:r>
      <w:r w:rsidRPr="009F5766">
        <w:rPr>
          <w:noProof/>
          <w:sz w:val="24"/>
          <w:szCs w:val="24"/>
        </w:rPr>
        <w:t>d</w:t>
      </w:r>
      <w:r>
        <w:rPr>
          <w:noProof/>
          <w:sz w:val="24"/>
          <w:szCs w:val="24"/>
        </w:rPr>
        <w:t>an</w:t>
      </w:r>
      <w:r w:rsidRPr="009F5766">
        <w:rPr>
          <w:noProof/>
          <w:sz w:val="24"/>
          <w:szCs w:val="24"/>
        </w:rPr>
        <w:t xml:space="preserve"> Walter </w:t>
      </w:r>
      <w:r>
        <w:rPr>
          <w:noProof/>
          <w:sz w:val="24"/>
          <w:szCs w:val="24"/>
        </w:rPr>
        <w:t>(</w:t>
      </w:r>
      <w:r w:rsidRPr="009F5766">
        <w:rPr>
          <w:noProof/>
          <w:sz w:val="24"/>
          <w:szCs w:val="24"/>
        </w:rPr>
        <w:t>2017)</w:t>
      </w:r>
      <w:r>
        <w:rPr>
          <w:sz w:val="24"/>
          <w:szCs w:val="24"/>
        </w:rPr>
        <w:fldChar w:fldCharType="end"/>
      </w:r>
      <w:r>
        <w:rPr>
          <w:sz w:val="24"/>
          <w:szCs w:val="24"/>
        </w:rPr>
        <w:t xml:space="preserve"> melalui studi literatur menunjukkan bahwa literasi keuangan dan konsultan memiliki peran substitusi dalam pengambilan keputusan keuangan. Individu dengan literasi keuangan yang buruk namun berkonsultasi dengan profesional dapat memiliki keputusan yang optimal setara dengan individu dengan literasi keuangan yang baik dan tanpa pendampingan konsultan.</w:t>
      </w:r>
    </w:p>
    <w:p w:rsidR="0008722B" w:rsidRDefault="009F5766" w:rsidP="0008722B">
      <w:pPr>
        <w:spacing w:line="360" w:lineRule="auto"/>
        <w:ind w:right="113" w:firstLine="588"/>
        <w:jc w:val="both"/>
        <w:rPr>
          <w:sz w:val="24"/>
          <w:szCs w:val="24"/>
        </w:rPr>
      </w:pPr>
      <w:r>
        <w:rPr>
          <w:sz w:val="24"/>
          <w:szCs w:val="24"/>
        </w:rPr>
        <w:t>Perbedaan temuan</w:t>
      </w:r>
      <w:r w:rsidR="000456FB">
        <w:rPr>
          <w:sz w:val="24"/>
          <w:szCs w:val="24"/>
        </w:rPr>
        <w:t xml:space="preserve"> tersebut mungkin dipengaruhi oleh berbagai karakteris</w:t>
      </w:r>
      <w:r>
        <w:rPr>
          <w:sz w:val="24"/>
          <w:szCs w:val="24"/>
        </w:rPr>
        <w:t xml:space="preserve">tik subjek individu penelitian. Studi ini juga melakukan pembatasan terkait beberapa faktor yang mungkin mempengaruhi keputusan individu untuk berkonsultasi, misalnya: </w:t>
      </w:r>
      <w:r w:rsidR="000456FB">
        <w:rPr>
          <w:sz w:val="24"/>
          <w:szCs w:val="24"/>
        </w:rPr>
        <w:t xml:space="preserve">tingkat kepercayaan diri individu, </w:t>
      </w:r>
      <w:r w:rsidR="00E864D0">
        <w:rPr>
          <w:sz w:val="24"/>
          <w:szCs w:val="24"/>
        </w:rPr>
        <w:t xml:space="preserve">jenis kelamin, </w:t>
      </w:r>
      <w:r w:rsidR="000456FB">
        <w:rPr>
          <w:sz w:val="24"/>
          <w:szCs w:val="24"/>
        </w:rPr>
        <w:t xml:space="preserve">usia, pendapatan, dan status pernikahan. Tingkat kepercayaan diri </w:t>
      </w:r>
      <w:r w:rsidR="00E864D0">
        <w:rPr>
          <w:sz w:val="24"/>
          <w:szCs w:val="24"/>
        </w:rPr>
        <w:t xml:space="preserve">memungkinkan individu untuk memiliki perilaku keuangan tertentu, misalnya individu dengan kepercayaan diri tinggi merasa mampu untuk mengelola keuangannya sendiri sehingga tidak membutuhkan bantuan konsultan atau sebaliknya individu dengan tingkat kepercayaan diri yang rendah akan menyerahkan semua keputusan keuangan kepada konsultan individu. </w:t>
      </w:r>
      <w:r w:rsidR="000F274C">
        <w:rPr>
          <w:sz w:val="24"/>
          <w:szCs w:val="24"/>
        </w:rPr>
        <w:t xml:space="preserve">Tingkat kepercayaan atas literasi keuangan </w:t>
      </w:r>
      <w:r w:rsidR="000456FB">
        <w:rPr>
          <w:sz w:val="24"/>
          <w:szCs w:val="24"/>
        </w:rPr>
        <w:t xml:space="preserve">diukur dengan menggunakan persepsi individu mengenai jawaban benarnya melalui teknik pengukuran </w:t>
      </w:r>
      <w:r w:rsidR="000456FB" w:rsidRPr="000456FB">
        <w:rPr>
          <w:i/>
          <w:sz w:val="24"/>
          <w:szCs w:val="24"/>
        </w:rPr>
        <w:t>subjective probability</w:t>
      </w:r>
      <w:r w:rsidR="000456FB">
        <w:rPr>
          <w:sz w:val="24"/>
          <w:szCs w:val="24"/>
        </w:rPr>
        <w:t>, selanjutnya untuk memudahkan intepretasi maka tingkat kepercayaan diri akan dibagi dalam</w:t>
      </w:r>
      <w:r w:rsidR="00E864D0">
        <w:rPr>
          <w:sz w:val="24"/>
          <w:szCs w:val="24"/>
        </w:rPr>
        <w:t xml:space="preserve"> dua kategori yaitu dibawah dan diatas nilai rata-rata tingkat kepercayaan diri. </w:t>
      </w:r>
      <w:r w:rsidR="000F274C">
        <w:rPr>
          <w:sz w:val="24"/>
          <w:szCs w:val="24"/>
        </w:rPr>
        <w:t xml:space="preserve">Dalam konteks budaya dalam kekerabatan patrilineal, pria berperan sebagai pengambil keputusan utama dalam keluarga. Keputusan berkonsultasi mungkin lebih dibutuhkan pria karena ia bertanggungjawab pada keluarga </w:t>
      </w:r>
      <w:r w:rsidR="00834FB9">
        <w:rPr>
          <w:sz w:val="24"/>
          <w:szCs w:val="24"/>
        </w:rPr>
        <w:t xml:space="preserve">atau </w:t>
      </w:r>
      <w:r w:rsidR="000F274C">
        <w:rPr>
          <w:sz w:val="24"/>
          <w:szCs w:val="24"/>
        </w:rPr>
        <w:t>sebaliknya wanit</w:t>
      </w:r>
      <w:r w:rsidR="00834FB9">
        <w:rPr>
          <w:sz w:val="24"/>
          <w:szCs w:val="24"/>
        </w:rPr>
        <w:t xml:space="preserve">a yang dihadapkan pada </w:t>
      </w:r>
      <w:r w:rsidR="00834FB9">
        <w:rPr>
          <w:sz w:val="24"/>
          <w:szCs w:val="24"/>
        </w:rPr>
        <w:lastRenderedPageBreak/>
        <w:t xml:space="preserve">pengelolaan keuangan merasa </w:t>
      </w:r>
      <w:r w:rsidR="000F274C">
        <w:rPr>
          <w:sz w:val="24"/>
          <w:szCs w:val="24"/>
        </w:rPr>
        <w:t xml:space="preserve"> </w:t>
      </w:r>
      <w:r w:rsidR="00834FB9">
        <w:rPr>
          <w:sz w:val="24"/>
          <w:szCs w:val="24"/>
        </w:rPr>
        <w:t>lebih membutuhkan konsulta</w:t>
      </w:r>
      <w:r w:rsidR="00167FC4">
        <w:rPr>
          <w:sz w:val="24"/>
          <w:szCs w:val="24"/>
        </w:rPr>
        <w:t>si keuangan dibanding pria.</w:t>
      </w:r>
    </w:p>
    <w:p w:rsidR="00834FB9" w:rsidRDefault="00834FB9" w:rsidP="0008722B">
      <w:pPr>
        <w:spacing w:line="360" w:lineRule="auto"/>
        <w:ind w:right="113" w:firstLine="588"/>
        <w:jc w:val="both"/>
        <w:rPr>
          <w:sz w:val="24"/>
          <w:szCs w:val="24"/>
        </w:rPr>
      </w:pPr>
      <w:r>
        <w:rPr>
          <w:sz w:val="24"/>
          <w:szCs w:val="24"/>
        </w:rPr>
        <w:t xml:space="preserve">Individu dengan usia lebih tua membutuhkan konsultan karena </w:t>
      </w:r>
      <w:r w:rsidR="007E4C3A">
        <w:rPr>
          <w:sz w:val="24"/>
          <w:szCs w:val="24"/>
        </w:rPr>
        <w:t xml:space="preserve">sudah enggan mengurus detail atas kekayaan sehingga </w:t>
      </w:r>
      <w:r>
        <w:rPr>
          <w:sz w:val="24"/>
          <w:szCs w:val="24"/>
        </w:rPr>
        <w:t>memerlukan peran “</w:t>
      </w:r>
      <w:r w:rsidRPr="00834FB9">
        <w:rPr>
          <w:i/>
          <w:sz w:val="24"/>
          <w:szCs w:val="24"/>
        </w:rPr>
        <w:t>babysitter</w:t>
      </w:r>
      <w:r>
        <w:rPr>
          <w:i/>
          <w:sz w:val="24"/>
          <w:szCs w:val="24"/>
        </w:rPr>
        <w:t>s</w:t>
      </w:r>
      <w:r>
        <w:rPr>
          <w:sz w:val="24"/>
          <w:szCs w:val="24"/>
        </w:rPr>
        <w:t xml:space="preserve">” dalam pengelolaan kekayaannya, sedangkan individu muda memerlukan konsultasi dalam bentuk perencanaan keuangan. Individu yang sudah menikah dan belum menikah mungkin memiliki kebutuhan yang berbeda terhadap peran konsultan, individu yang telah menikah dituntut untuk lebih berhati-hati dalam mengelola keuangan keluarga sedangkan individu yang belum menikah membutuhkan peran konsultan dalam rangka melakukan pembatasan atas konsumsi. </w:t>
      </w:r>
      <w:r w:rsidR="007E4C3A">
        <w:rPr>
          <w:sz w:val="24"/>
          <w:szCs w:val="24"/>
        </w:rPr>
        <w:t>Sedangkan individu dengan pendapatan lebih banyak memiliki pilihan investasi dan tabungan yang lebih menarik sehingga membutuhkan konsultan dalam menaksir setiap peluang, individu dengan pendapatan lebih sedikit membutuhkan peran konsultan dalam mengalokasikan pendapatannya secara optimal.</w:t>
      </w:r>
    </w:p>
    <w:p w:rsidR="009F5766" w:rsidRDefault="009F5766" w:rsidP="0008722B">
      <w:pPr>
        <w:spacing w:line="360" w:lineRule="auto"/>
        <w:ind w:right="113" w:firstLine="588"/>
        <w:jc w:val="both"/>
        <w:rPr>
          <w:sz w:val="24"/>
          <w:szCs w:val="24"/>
        </w:rPr>
      </w:pPr>
    </w:p>
    <w:p w:rsidR="00387A07" w:rsidRPr="00387A07" w:rsidRDefault="0027416F" w:rsidP="00E61B98">
      <w:pPr>
        <w:pStyle w:val="Heading2"/>
        <w:numPr>
          <w:ilvl w:val="0"/>
          <w:numId w:val="0"/>
        </w:numPr>
        <w:spacing w:before="0" w:after="0" w:line="360" w:lineRule="auto"/>
        <w:rPr>
          <w:rFonts w:ascii="Times New Roman" w:hAnsi="Times New Roman" w:cs="Times New Roman"/>
          <w:i w:val="0"/>
          <w:sz w:val="24"/>
          <w:szCs w:val="24"/>
        </w:rPr>
      </w:pPr>
      <w:r>
        <w:rPr>
          <w:rFonts w:ascii="Times New Roman" w:hAnsi="Times New Roman" w:cs="Times New Roman"/>
          <w:i w:val="0"/>
          <w:sz w:val="24"/>
          <w:szCs w:val="24"/>
        </w:rPr>
        <w:t>Masalah Endogeneitas</w:t>
      </w:r>
    </w:p>
    <w:p w:rsidR="0073551B" w:rsidRDefault="00113598" w:rsidP="0073551B">
      <w:pPr>
        <w:pStyle w:val="ListParagraph"/>
        <w:spacing w:line="360" w:lineRule="auto"/>
        <w:ind w:left="0"/>
        <w:jc w:val="both"/>
        <w:rPr>
          <w:sz w:val="24"/>
          <w:szCs w:val="24"/>
        </w:rPr>
      </w:pPr>
      <w:r>
        <w:rPr>
          <w:sz w:val="24"/>
          <w:szCs w:val="24"/>
        </w:rPr>
        <w:t xml:space="preserve">Literatur-literatur terdahulu </w:t>
      </w:r>
      <w:r w:rsidR="0027416F" w:rsidRPr="0027416F">
        <w:rPr>
          <w:sz w:val="24"/>
          <w:szCs w:val="24"/>
        </w:rPr>
        <w:t xml:space="preserve">menunjukkan bahwa literasi keuangan mempengaruhi </w:t>
      </w:r>
      <w:r w:rsidR="004715A1">
        <w:rPr>
          <w:sz w:val="24"/>
          <w:szCs w:val="24"/>
        </w:rPr>
        <w:t>pengambilan keputusan untuk</w:t>
      </w:r>
      <w:r w:rsidR="0027416F" w:rsidRPr="0027416F">
        <w:rPr>
          <w:sz w:val="24"/>
          <w:szCs w:val="24"/>
        </w:rPr>
        <w:t xml:space="preserve"> keuangan individu. </w:t>
      </w:r>
      <w:r w:rsidR="00205B69">
        <w:rPr>
          <w:sz w:val="24"/>
          <w:szCs w:val="24"/>
        </w:rPr>
        <w:t xml:space="preserve">Frijns et al. (2014) menyatakan </w:t>
      </w:r>
      <w:r w:rsidR="0027416F" w:rsidRPr="0027416F">
        <w:rPr>
          <w:sz w:val="24"/>
          <w:szCs w:val="24"/>
        </w:rPr>
        <w:t>bahwa mekanisme</w:t>
      </w:r>
      <w:r>
        <w:rPr>
          <w:sz w:val="24"/>
          <w:szCs w:val="24"/>
        </w:rPr>
        <w:t xml:space="preserve"> hubungan antara keduanya </w:t>
      </w:r>
      <w:r w:rsidR="0027416F" w:rsidRPr="0027416F">
        <w:rPr>
          <w:sz w:val="24"/>
          <w:szCs w:val="24"/>
        </w:rPr>
        <w:t xml:space="preserve">dapat juga </w:t>
      </w:r>
      <w:r w:rsidR="00205B69">
        <w:rPr>
          <w:sz w:val="24"/>
          <w:szCs w:val="24"/>
        </w:rPr>
        <w:t xml:space="preserve">berkebalikan: </w:t>
      </w:r>
      <w:r w:rsidR="0027416F" w:rsidRPr="0027416F">
        <w:rPr>
          <w:sz w:val="24"/>
          <w:szCs w:val="24"/>
        </w:rPr>
        <w:t xml:space="preserve">individu </w:t>
      </w:r>
      <w:r w:rsidR="0027416F" w:rsidRPr="0027416F">
        <w:rPr>
          <w:sz w:val="24"/>
          <w:szCs w:val="24"/>
          <w:shd w:val="clear" w:color="auto" w:fill="FFFFFF"/>
        </w:rPr>
        <w:t xml:space="preserve">yang telah terlebih dahulu </w:t>
      </w:r>
      <w:r>
        <w:rPr>
          <w:sz w:val="24"/>
          <w:szCs w:val="24"/>
          <w:shd w:val="clear" w:color="auto" w:fill="FFFFFF"/>
        </w:rPr>
        <w:t>berkonsultasi dengan profesional akan</w:t>
      </w:r>
      <w:r w:rsidR="0027416F" w:rsidRPr="0027416F">
        <w:rPr>
          <w:sz w:val="24"/>
          <w:szCs w:val="24"/>
          <w:shd w:val="clear" w:color="auto" w:fill="FFFFFF"/>
        </w:rPr>
        <w:t xml:space="preserve"> mengalami </w:t>
      </w:r>
      <w:r>
        <w:rPr>
          <w:sz w:val="24"/>
          <w:szCs w:val="24"/>
          <w:shd w:val="clear" w:color="auto" w:fill="FFFFFF"/>
        </w:rPr>
        <w:t xml:space="preserve">memiliki </w:t>
      </w:r>
      <w:r w:rsidR="0027416F" w:rsidRPr="0027416F">
        <w:rPr>
          <w:sz w:val="24"/>
          <w:szCs w:val="24"/>
          <w:shd w:val="clear" w:color="auto" w:fill="FFFFFF"/>
        </w:rPr>
        <w:t xml:space="preserve">literasi keuangan </w:t>
      </w:r>
      <w:r>
        <w:rPr>
          <w:sz w:val="24"/>
          <w:szCs w:val="24"/>
          <w:shd w:val="clear" w:color="auto" w:fill="FFFFFF"/>
        </w:rPr>
        <w:t>yang</w:t>
      </w:r>
      <w:r w:rsidR="00FE02E6">
        <w:rPr>
          <w:sz w:val="24"/>
          <w:szCs w:val="24"/>
          <w:shd w:val="clear" w:color="auto" w:fill="FFFFFF"/>
        </w:rPr>
        <w:t xml:space="preserve"> lebih baik dari hari ke hari</w:t>
      </w:r>
      <w:r>
        <w:rPr>
          <w:sz w:val="24"/>
          <w:szCs w:val="24"/>
          <w:shd w:val="clear" w:color="auto" w:fill="FFFFFF"/>
        </w:rPr>
        <w:t xml:space="preserve"> </w:t>
      </w:r>
      <w:r w:rsidR="00205B69">
        <w:rPr>
          <w:sz w:val="24"/>
          <w:szCs w:val="24"/>
          <w:shd w:val="clear" w:color="auto" w:fill="FFFFFF"/>
        </w:rPr>
        <w:t xml:space="preserve">akibat </w:t>
      </w:r>
      <w:r w:rsidR="00FE02E6">
        <w:rPr>
          <w:sz w:val="24"/>
          <w:szCs w:val="24"/>
          <w:shd w:val="clear" w:color="auto" w:fill="FFFFFF"/>
        </w:rPr>
        <w:t xml:space="preserve">paparan dari sesi konsultasi, </w:t>
      </w:r>
      <w:r w:rsidR="00FE02E6">
        <w:rPr>
          <w:sz w:val="24"/>
          <w:szCs w:val="24"/>
        </w:rPr>
        <w:t>sosialisasi, maupun</w:t>
      </w:r>
      <w:r w:rsidR="00205B69">
        <w:rPr>
          <w:sz w:val="24"/>
          <w:szCs w:val="24"/>
        </w:rPr>
        <w:t xml:space="preserve"> </w:t>
      </w:r>
      <w:r w:rsidR="00FE02E6">
        <w:rPr>
          <w:sz w:val="24"/>
          <w:szCs w:val="24"/>
        </w:rPr>
        <w:t xml:space="preserve">seminar. Selain itu, individu juga mulai terdorong </w:t>
      </w:r>
      <w:r w:rsidR="0027416F" w:rsidRPr="0027416F">
        <w:rPr>
          <w:sz w:val="24"/>
          <w:szCs w:val="24"/>
        </w:rPr>
        <w:t>untuk menambah pengetahuan dan informasi</w:t>
      </w:r>
      <w:r w:rsidR="00FE02E6">
        <w:rPr>
          <w:sz w:val="24"/>
          <w:szCs w:val="24"/>
        </w:rPr>
        <w:t xml:space="preserve"> melalui berbagai sumbe</w:t>
      </w:r>
      <w:r w:rsidR="00205B69">
        <w:rPr>
          <w:sz w:val="24"/>
          <w:szCs w:val="24"/>
        </w:rPr>
        <w:t>r informasi keuangan yang lain. Dengan kata lain</w:t>
      </w:r>
      <w:r w:rsidR="004715A1">
        <w:rPr>
          <w:sz w:val="24"/>
          <w:szCs w:val="24"/>
        </w:rPr>
        <w:t xml:space="preserve"> terdapat</w:t>
      </w:r>
      <w:r w:rsidR="00205B69">
        <w:rPr>
          <w:sz w:val="24"/>
          <w:szCs w:val="24"/>
        </w:rPr>
        <w:t xml:space="preserve"> hubungan simultan </w:t>
      </w:r>
      <w:r w:rsidR="00205B69" w:rsidRPr="0027416F">
        <w:rPr>
          <w:sz w:val="24"/>
          <w:szCs w:val="24"/>
        </w:rPr>
        <w:t xml:space="preserve">antara keduanya yang berpotensi menyebabkan masalah endogenitas </w:t>
      </w:r>
      <w:r w:rsidR="00E11FEA">
        <w:rPr>
          <w:sz w:val="24"/>
          <w:szCs w:val="24"/>
        </w:rPr>
        <w:t xml:space="preserve">akibat inkonsistensi parameter dan bias </w:t>
      </w:r>
      <w:r w:rsidR="00E11FEA">
        <w:rPr>
          <w:sz w:val="24"/>
          <w:szCs w:val="24"/>
        </w:rPr>
        <w:fldChar w:fldCharType="begin" w:fldLock="1"/>
      </w:r>
      <w:r w:rsidR="007E4C3A">
        <w:rPr>
          <w:sz w:val="24"/>
          <w:szCs w:val="24"/>
        </w:rPr>
        <w:instrText>ADDIN CSL_CITATION {"citationItems":[{"id":"ITEM-1","itemData":{"ISBN":"9781305270107","author":[{"dropping-particle":"","family":"Woolridge","given":"Jeffrey M.","non-dropping-particle":"","parse-names":false,"suffix":""}],"edition":"6th ed.","id":"ITEM-1","issued":{"date-parts":[["2016"]]},"number-of-pages":"1-771","publisher":"Cengage Learning","publisher-place":"Boston, USA","title":"Introductory Econometrics: A Modern Approach","type":"book"},"uris":["http://www.mendeley.com/documents/?uuid=83613fc9-4c3b-430c-a8c3-7bb006640075"]}],"mendeley":{"formattedCitation":"(Woolridge 2016)","plainTextFormattedCitation":"(Woolridge 2016)","previouslyFormattedCitation":"(Woolridge 2016)"},"properties":{"noteIndex":0},"schema":"https://github.com/citation-style-language/schema/raw/master/csl-citation.json"}</w:instrText>
      </w:r>
      <w:r w:rsidR="00E11FEA">
        <w:rPr>
          <w:sz w:val="24"/>
          <w:szCs w:val="24"/>
        </w:rPr>
        <w:fldChar w:fldCharType="separate"/>
      </w:r>
      <w:r w:rsidR="00E11FEA" w:rsidRPr="00E11FEA">
        <w:rPr>
          <w:noProof/>
          <w:sz w:val="24"/>
          <w:szCs w:val="24"/>
        </w:rPr>
        <w:t>(Woolridge 2016)</w:t>
      </w:r>
      <w:r w:rsidR="00E11FEA">
        <w:rPr>
          <w:sz w:val="24"/>
          <w:szCs w:val="24"/>
        </w:rPr>
        <w:fldChar w:fldCharType="end"/>
      </w:r>
      <w:r w:rsidR="00E11FEA">
        <w:rPr>
          <w:sz w:val="24"/>
          <w:szCs w:val="24"/>
        </w:rPr>
        <w:t>.</w:t>
      </w:r>
    </w:p>
    <w:p w:rsidR="0073551B" w:rsidRDefault="0073551B" w:rsidP="0073551B">
      <w:pPr>
        <w:pStyle w:val="ListParagraph"/>
        <w:spacing w:line="360" w:lineRule="auto"/>
        <w:ind w:left="0"/>
        <w:jc w:val="both"/>
        <w:rPr>
          <w:rFonts w:eastAsia="Calibri"/>
          <w:color w:val="000000"/>
          <w:sz w:val="24"/>
          <w:szCs w:val="24"/>
        </w:rPr>
      </w:pPr>
      <w:r>
        <w:rPr>
          <w:sz w:val="24"/>
          <w:szCs w:val="24"/>
        </w:rPr>
        <w:tab/>
      </w:r>
      <w:r w:rsidR="00E11FEA">
        <w:rPr>
          <w:sz w:val="24"/>
          <w:szCs w:val="24"/>
        </w:rPr>
        <w:fldChar w:fldCharType="begin" w:fldLock="1"/>
      </w:r>
      <w:r w:rsidR="00E11FEA">
        <w:rPr>
          <w:sz w:val="24"/>
          <w:szCs w:val="24"/>
        </w:rPr>
        <w:instrText>ADDIN CSL_CITATION {"citationItems":[{"id":"ITEM-1","itemData":{"DOI":"10.1287/mnsc.2013.1849","ISBN":"0025-1909","ISSN":"0025-1909","PMID":"25246403","abstract":"Policy makers have embraced financial education as a necessary antidote to the increasing complexity of\\r\\nconsumers’ financial decisions over the last generation. We conduct a meta-analysis of the relationship of\\r\\nfinancial literacy and of financial education to financial behaviors in 168 papers covering 201 prior\\r\\nstudies. We find that interventions to improve financial literacy explain only 0.1% of the variance in\\r\\nfinancial behaviors studied, with weaker effects in low-income samples. Like other education, financial\\r\\neducation decays over time; even large interventions with many hours of instruction have negligible\\r\\neffects on behavior 20 months or more from the time of intervention. Correlational studies that measure\\r\\nfinancial literacy find stronger associations with financial behaviors. We conduct three empirical studies,\\r\\nand we find that the partial effects of financial literacy diminish dramatically when one controls for\\r\\npsychological traits that have been omitted in prior research or when one uses an instrument for financial\\r\\nliteracy to control for omitted variables. Financial education as studied to date has serious limitations that\\r\\nhave been masked by the apparently larger effects in correlational studies. We envisage a reduced role\\r\\nfor financial education that is not elaborated or acted upon soon afterward. We suggest a real but\\r\\nnarrower role for “just in time” financial education tied to specific behaviors it intends to help. We\\r\\nconclude with a discussion of the characteristics of behaviors that might affect the policy maker’s mix of\\r\\nfinancial education, choice architecture, and regulation as tools to help consumer financial behavior.","author":[{"dropping-particle":"","family":"Fernandes","given":"Daniel","non-dropping-particle":"","parse-names":false,"suffix":""},{"dropping-particle":"","family":"Lynch","given":"John G.","non-dropping-particle":"","parse-names":false,"suffix":""},{"dropping-particle":"","family":"Netemeyer","given":"Richard G.","non-dropping-particle":"","parse-names":false,"suffix":""}],"container-title":"Management Science","id":"ITEM-1","issue":"8","issued":{"date-parts":[["2014"]]},"page":"1861-1883","title":"Financial Literacy, Financial Education, and Downstream Financial Behaviors","type":"article-journal","volume":"60"},"uris":["http://www.mendeley.com/documents/?uuid=312d60d6-95d3-4246-84ec-7a77ebe9a197"]}],"mendeley":{"formattedCitation":"(Fernandes, Lynch, and Netemeyer 2014)","manualFormatting":"Fernandes, Lynch, dan Netemeyer (2014)","plainTextFormattedCitation":"(Fernandes, Lynch, and Netemeyer 2014)","previouslyFormattedCitation":"(Fernandes, Lynch, and Netemeyer 2014)"},"properties":{"noteIndex":0},"schema":"https://github.com/citation-style-language/schema/raw/master/csl-citation.json"}</w:instrText>
      </w:r>
      <w:r w:rsidR="00E11FEA">
        <w:rPr>
          <w:sz w:val="24"/>
          <w:szCs w:val="24"/>
        </w:rPr>
        <w:fldChar w:fldCharType="separate"/>
      </w:r>
      <w:r w:rsidR="00E11FEA">
        <w:rPr>
          <w:noProof/>
          <w:sz w:val="24"/>
          <w:szCs w:val="24"/>
        </w:rPr>
        <w:t xml:space="preserve">Fernandes, Lynch, </w:t>
      </w:r>
      <w:r w:rsidR="00E11FEA" w:rsidRPr="00E11FEA">
        <w:rPr>
          <w:noProof/>
          <w:sz w:val="24"/>
          <w:szCs w:val="24"/>
        </w:rPr>
        <w:t>d</w:t>
      </w:r>
      <w:r w:rsidR="00E11FEA">
        <w:rPr>
          <w:noProof/>
          <w:sz w:val="24"/>
          <w:szCs w:val="24"/>
        </w:rPr>
        <w:t>an</w:t>
      </w:r>
      <w:r w:rsidR="00E11FEA" w:rsidRPr="00E11FEA">
        <w:rPr>
          <w:noProof/>
          <w:sz w:val="24"/>
          <w:szCs w:val="24"/>
        </w:rPr>
        <w:t xml:space="preserve"> Netemeyer </w:t>
      </w:r>
      <w:r w:rsidR="00E11FEA">
        <w:rPr>
          <w:noProof/>
          <w:sz w:val="24"/>
          <w:szCs w:val="24"/>
        </w:rPr>
        <w:t>(</w:t>
      </w:r>
      <w:r w:rsidR="00E11FEA" w:rsidRPr="00E11FEA">
        <w:rPr>
          <w:noProof/>
          <w:sz w:val="24"/>
          <w:szCs w:val="24"/>
        </w:rPr>
        <w:t>2014)</w:t>
      </w:r>
      <w:r w:rsidR="00E11FEA">
        <w:rPr>
          <w:sz w:val="24"/>
          <w:szCs w:val="24"/>
        </w:rPr>
        <w:fldChar w:fldCharType="end"/>
      </w:r>
      <w:r w:rsidR="00E11FEA">
        <w:rPr>
          <w:sz w:val="24"/>
          <w:szCs w:val="24"/>
        </w:rPr>
        <w:t xml:space="preserve"> melakukan meta-analisis dan menemukan bahwa</w:t>
      </w:r>
      <w:r w:rsidR="0027416F" w:rsidRPr="0027416F">
        <w:rPr>
          <w:sz w:val="24"/>
          <w:szCs w:val="24"/>
        </w:rPr>
        <w:t xml:space="preserve"> </w:t>
      </w:r>
      <w:r w:rsidR="00E11FEA" w:rsidRPr="0027416F">
        <w:rPr>
          <w:sz w:val="24"/>
          <w:szCs w:val="24"/>
        </w:rPr>
        <w:t xml:space="preserve">lebih dari 72% </w:t>
      </w:r>
      <w:r w:rsidR="00E11FEA">
        <w:rPr>
          <w:sz w:val="24"/>
          <w:szCs w:val="24"/>
        </w:rPr>
        <w:t xml:space="preserve">dari 111 </w:t>
      </w:r>
      <w:r>
        <w:rPr>
          <w:sz w:val="24"/>
          <w:szCs w:val="24"/>
        </w:rPr>
        <w:t xml:space="preserve">studi </w:t>
      </w:r>
      <w:r w:rsidR="0027416F" w:rsidRPr="0027416F">
        <w:rPr>
          <w:sz w:val="24"/>
          <w:szCs w:val="24"/>
        </w:rPr>
        <w:t>mengenai literasi keuangan</w:t>
      </w:r>
      <w:r w:rsidR="003A6435">
        <w:rPr>
          <w:sz w:val="24"/>
          <w:szCs w:val="24"/>
        </w:rPr>
        <w:t xml:space="preserve"> tidak menguji potensi </w:t>
      </w:r>
      <w:r w:rsidR="0027416F" w:rsidRPr="0027416F">
        <w:rPr>
          <w:sz w:val="24"/>
          <w:szCs w:val="24"/>
        </w:rPr>
        <w:t>hubungan simultan</w:t>
      </w:r>
      <w:r>
        <w:rPr>
          <w:sz w:val="24"/>
          <w:szCs w:val="24"/>
        </w:rPr>
        <w:t xml:space="preserve"> terlebih dahulu</w:t>
      </w:r>
      <w:r w:rsidR="003A6435">
        <w:rPr>
          <w:sz w:val="24"/>
          <w:szCs w:val="24"/>
        </w:rPr>
        <w:t>. Selanjutnya, apabila terbukti terdapat hubungan simultan maka</w:t>
      </w:r>
      <w:r>
        <w:rPr>
          <w:sz w:val="24"/>
          <w:szCs w:val="24"/>
        </w:rPr>
        <w:t xml:space="preserve"> akan digunakan</w:t>
      </w:r>
      <w:r w:rsidR="003A6435">
        <w:rPr>
          <w:sz w:val="24"/>
          <w:szCs w:val="24"/>
        </w:rPr>
        <w:t xml:space="preserve"> </w:t>
      </w:r>
      <w:r>
        <w:rPr>
          <w:sz w:val="24"/>
          <w:szCs w:val="24"/>
        </w:rPr>
        <w:t>metode estimasi</w:t>
      </w:r>
      <w:r w:rsidR="003A6435">
        <w:rPr>
          <w:sz w:val="24"/>
          <w:szCs w:val="24"/>
        </w:rPr>
        <w:t xml:space="preserve"> </w:t>
      </w:r>
      <w:r w:rsidR="00FA4C33">
        <w:rPr>
          <w:i/>
          <w:sz w:val="24"/>
          <w:szCs w:val="24"/>
        </w:rPr>
        <w:t xml:space="preserve">Control </w:t>
      </w:r>
      <w:r w:rsidR="00FA4C33">
        <w:rPr>
          <w:i/>
          <w:sz w:val="24"/>
          <w:szCs w:val="24"/>
        </w:rPr>
        <w:lastRenderedPageBreak/>
        <w:t>Function</w:t>
      </w:r>
      <w:r>
        <w:rPr>
          <w:sz w:val="24"/>
          <w:szCs w:val="24"/>
        </w:rPr>
        <w:t xml:space="preserve"> dengan menambahkan </w:t>
      </w:r>
      <w:r w:rsidR="003A6435">
        <w:rPr>
          <w:sz w:val="24"/>
          <w:szCs w:val="24"/>
        </w:rPr>
        <w:t>variabel instrumental</w:t>
      </w:r>
      <w:r>
        <w:rPr>
          <w:sz w:val="24"/>
          <w:szCs w:val="24"/>
        </w:rPr>
        <w:t xml:space="preserve">. Variabel instrumental merupakan variabel eksogen </w:t>
      </w:r>
      <w:r w:rsidR="00FC5614">
        <w:rPr>
          <w:sz w:val="24"/>
          <w:szCs w:val="24"/>
        </w:rPr>
        <w:t xml:space="preserve">dan acak yang mempengaruhi tingkat literasi keuangan </w:t>
      </w:r>
      <w:r w:rsidR="000456FB">
        <w:rPr>
          <w:sz w:val="24"/>
          <w:szCs w:val="24"/>
        </w:rPr>
        <w:t>individu</w:t>
      </w:r>
      <w:r>
        <w:rPr>
          <w:sz w:val="24"/>
          <w:szCs w:val="24"/>
        </w:rPr>
        <w:t xml:space="preserve">. Variabel instrumental </w:t>
      </w:r>
      <w:r w:rsidR="000456FB">
        <w:rPr>
          <w:sz w:val="24"/>
          <w:szCs w:val="24"/>
        </w:rPr>
        <w:t xml:space="preserve">yang digunakan </w:t>
      </w:r>
      <w:r>
        <w:rPr>
          <w:sz w:val="24"/>
          <w:szCs w:val="24"/>
        </w:rPr>
        <w:t>dalam</w:t>
      </w:r>
      <w:r w:rsidR="007B5D64">
        <w:rPr>
          <w:sz w:val="24"/>
          <w:szCs w:val="24"/>
        </w:rPr>
        <w:t xml:space="preserve"> penelitian ini adalah </w:t>
      </w:r>
      <w:r w:rsidR="00FC5614">
        <w:rPr>
          <w:sz w:val="24"/>
          <w:szCs w:val="24"/>
        </w:rPr>
        <w:t>goncangan ekonomi kelurga dalam 20 tahun terakhir. Penurunan kesejahteraan keluarga dapat diartikan secara luas sebagai akibat dari kehilangan pekerjaan, penipuan, bencana alam maupun kondisi makroekonomi.</w:t>
      </w:r>
      <w:r>
        <w:rPr>
          <w:sz w:val="24"/>
          <w:szCs w:val="24"/>
        </w:rPr>
        <w:t xml:space="preserve"> </w:t>
      </w:r>
      <w:r w:rsidR="00FC5614">
        <w:rPr>
          <w:sz w:val="24"/>
          <w:szCs w:val="24"/>
        </w:rPr>
        <w:t xml:space="preserve">Pengalaman tersebut </w:t>
      </w:r>
      <w:r w:rsidRPr="0073551B">
        <w:rPr>
          <w:rFonts w:eastAsia="Calibri"/>
          <w:color w:val="000000"/>
          <w:sz w:val="24"/>
          <w:szCs w:val="24"/>
        </w:rPr>
        <w:t>secara alamiah</w:t>
      </w:r>
      <w:r w:rsidR="00FC5614">
        <w:rPr>
          <w:rFonts w:eastAsia="Calibri"/>
          <w:color w:val="000000"/>
          <w:sz w:val="24"/>
          <w:szCs w:val="24"/>
        </w:rPr>
        <w:t xml:space="preserve"> </w:t>
      </w:r>
      <w:r w:rsidR="00FC5614">
        <w:rPr>
          <w:sz w:val="24"/>
          <w:szCs w:val="24"/>
        </w:rPr>
        <w:t>menciptakan</w:t>
      </w:r>
      <w:r w:rsidR="007B5D64">
        <w:rPr>
          <w:rFonts w:eastAsia="Calibri"/>
          <w:color w:val="000000"/>
          <w:sz w:val="24"/>
          <w:szCs w:val="24"/>
        </w:rPr>
        <w:t xml:space="preserve"> </w:t>
      </w:r>
      <w:r w:rsidR="00FC5614">
        <w:rPr>
          <w:rFonts w:eastAsia="Calibri"/>
          <w:color w:val="000000"/>
          <w:sz w:val="24"/>
          <w:szCs w:val="24"/>
        </w:rPr>
        <w:t>ketakutan. Individu akan belajar dari pengalaman untuk mencegah hal tersebut terulang kembali,</w:t>
      </w:r>
      <w:r w:rsidR="00A6148E">
        <w:rPr>
          <w:rFonts w:eastAsia="Calibri"/>
          <w:color w:val="000000"/>
          <w:sz w:val="24"/>
          <w:szCs w:val="24"/>
        </w:rPr>
        <w:t xml:space="preserve"> ia</w:t>
      </w:r>
      <w:r w:rsidR="000456FB">
        <w:rPr>
          <w:rFonts w:eastAsia="Calibri"/>
          <w:color w:val="000000"/>
          <w:sz w:val="24"/>
          <w:szCs w:val="24"/>
        </w:rPr>
        <w:t xml:space="preserve"> akan</w:t>
      </w:r>
      <w:r w:rsidRPr="0073551B">
        <w:rPr>
          <w:rFonts w:eastAsia="Calibri"/>
          <w:color w:val="000000"/>
          <w:sz w:val="24"/>
          <w:szCs w:val="24"/>
        </w:rPr>
        <w:t xml:space="preserve"> terdorong untuk memiliki </w:t>
      </w:r>
      <w:r w:rsidR="000456FB">
        <w:rPr>
          <w:rFonts w:eastAsia="Calibri"/>
          <w:color w:val="000000"/>
          <w:sz w:val="24"/>
          <w:szCs w:val="24"/>
        </w:rPr>
        <w:t>literasi keuangan</w:t>
      </w:r>
      <w:r w:rsidRPr="0073551B">
        <w:rPr>
          <w:rFonts w:eastAsia="Calibri"/>
          <w:color w:val="000000"/>
          <w:sz w:val="24"/>
          <w:szCs w:val="24"/>
        </w:rPr>
        <w:t xml:space="preserve"> </w:t>
      </w:r>
      <w:r w:rsidR="007B5D64">
        <w:rPr>
          <w:rFonts w:eastAsia="Calibri"/>
          <w:color w:val="000000"/>
          <w:sz w:val="24"/>
          <w:szCs w:val="24"/>
        </w:rPr>
        <w:t xml:space="preserve">dan perilaku keuangan </w:t>
      </w:r>
      <w:r w:rsidRPr="0073551B">
        <w:rPr>
          <w:rFonts w:eastAsia="Calibri"/>
          <w:color w:val="000000"/>
          <w:sz w:val="24"/>
          <w:szCs w:val="24"/>
        </w:rPr>
        <w:t>yang</w:t>
      </w:r>
      <w:r w:rsidR="007B5D64">
        <w:rPr>
          <w:rFonts w:eastAsia="Calibri"/>
          <w:color w:val="000000"/>
          <w:sz w:val="24"/>
          <w:szCs w:val="24"/>
        </w:rPr>
        <w:t xml:space="preserve"> lebih</w:t>
      </w:r>
      <w:r w:rsidRPr="0073551B">
        <w:rPr>
          <w:rFonts w:eastAsia="Calibri"/>
          <w:color w:val="000000"/>
          <w:sz w:val="24"/>
          <w:szCs w:val="24"/>
        </w:rPr>
        <w:t xml:space="preserve"> baik</w:t>
      </w:r>
      <w:r w:rsidR="00FC5614">
        <w:rPr>
          <w:rFonts w:eastAsia="Calibri"/>
          <w:color w:val="000000"/>
          <w:sz w:val="24"/>
          <w:szCs w:val="24"/>
        </w:rPr>
        <w:t xml:space="preserve"> </w:t>
      </w:r>
      <w:r w:rsidR="00FC5614">
        <w:rPr>
          <w:rFonts w:eastAsia="Calibri"/>
          <w:color w:val="000000"/>
          <w:sz w:val="24"/>
          <w:szCs w:val="24"/>
        </w:rPr>
        <w:fldChar w:fldCharType="begin" w:fldLock="1"/>
      </w:r>
      <w:r w:rsidR="007F086F">
        <w:rPr>
          <w:rFonts w:eastAsia="Calibri"/>
          <w:color w:val="000000"/>
          <w:sz w:val="24"/>
          <w:szCs w:val="24"/>
        </w:rPr>
        <w:instrText>ADDIN CSL_CITATION {"citationItems":[{"id":"ITEM-1","itemData":{"abstract":"There are vast differences in wealth holdings, even among households in similar age groups. In addition, a large percentage of U.S. households arrive close to retirement with little or no wealth. While many explanations can be found to rationalize these facts, approximately thirty percent of households whose head is close to retirement have done little or no planning for retirement. Planning is shaped by the experience of other individuals: individuals learn to plan for retirement from older siblings. They also learn from the experience of old parents. In particular, unpleasant events, such as financial difficulties and health shocks at the end of life, provide incentives toward planning. In addition, planning affects wealth levels as well as portfolio choice. Individuals who plan are more likely to hold large amounts of wealth and to invest their wealth holdings in high return assets, such as stocks. Thus, planning plays an important role in explaining the saving behavior of many households.","author":[{"dropping-particle":"","family":"Lusardi","given":"Annamaria","non-dropping-particle":"","parse-names":false,"suffix":""}],"id":"ITEM-1","issue":"December","issued":{"date-parts":[["2003"]]},"number-of-pages":"1-46","title":"Planning and Saving for Retirement","type":"report"},"uris":["http://www.mendeley.com/documents/?uuid=d91c10fe-d94c-4780-adbd-b8f071893b4f"]}],"mendeley":{"formattedCitation":"(Lusardi 2003)","plainTextFormattedCitation":"(Lusardi 2003)","previouslyFormattedCitation":"(Lusardi 2003)"},"properties":{"noteIndex":0},"schema":"https://github.com/citation-style-language/schema/raw/master/csl-citation.json"}</w:instrText>
      </w:r>
      <w:r w:rsidR="00FC5614">
        <w:rPr>
          <w:rFonts w:eastAsia="Calibri"/>
          <w:color w:val="000000"/>
          <w:sz w:val="24"/>
          <w:szCs w:val="24"/>
        </w:rPr>
        <w:fldChar w:fldCharType="separate"/>
      </w:r>
      <w:r w:rsidR="00FC5614" w:rsidRPr="00FC5614">
        <w:rPr>
          <w:rFonts w:eastAsia="Calibri"/>
          <w:noProof/>
          <w:color w:val="000000"/>
          <w:sz w:val="24"/>
          <w:szCs w:val="24"/>
        </w:rPr>
        <w:t>(Lusardi 2003)</w:t>
      </w:r>
      <w:r w:rsidR="00FC5614">
        <w:rPr>
          <w:rFonts w:eastAsia="Calibri"/>
          <w:color w:val="000000"/>
          <w:sz w:val="24"/>
          <w:szCs w:val="24"/>
        </w:rPr>
        <w:fldChar w:fldCharType="end"/>
      </w:r>
    </w:p>
    <w:p w:rsidR="009F5766" w:rsidRPr="0073551B" w:rsidRDefault="009F5766" w:rsidP="0073551B">
      <w:pPr>
        <w:pStyle w:val="ListParagraph"/>
        <w:spacing w:line="360" w:lineRule="auto"/>
        <w:ind w:left="0"/>
        <w:jc w:val="both"/>
        <w:rPr>
          <w:sz w:val="24"/>
          <w:szCs w:val="24"/>
        </w:rPr>
      </w:pPr>
    </w:p>
    <w:p w:rsidR="003E07C1" w:rsidRPr="00387A07" w:rsidRDefault="003E07C1" w:rsidP="003E07C1">
      <w:pPr>
        <w:pStyle w:val="Heading2"/>
        <w:numPr>
          <w:ilvl w:val="0"/>
          <w:numId w:val="0"/>
        </w:numPr>
        <w:spacing w:before="0" w:after="0" w:line="360" w:lineRule="auto"/>
        <w:rPr>
          <w:rFonts w:ascii="Times New Roman" w:hAnsi="Times New Roman" w:cs="Times New Roman"/>
          <w:i w:val="0"/>
          <w:sz w:val="24"/>
          <w:szCs w:val="24"/>
        </w:rPr>
      </w:pPr>
      <w:r w:rsidRPr="00387A07">
        <w:rPr>
          <w:rFonts w:ascii="Times New Roman" w:hAnsi="Times New Roman" w:cs="Times New Roman"/>
          <w:i w:val="0"/>
          <w:sz w:val="24"/>
          <w:szCs w:val="24"/>
        </w:rPr>
        <w:t>Pen</w:t>
      </w:r>
      <w:r>
        <w:rPr>
          <w:rFonts w:ascii="Times New Roman" w:hAnsi="Times New Roman" w:cs="Times New Roman"/>
          <w:i w:val="0"/>
          <w:sz w:val="24"/>
          <w:szCs w:val="24"/>
        </w:rPr>
        <w:t>elitian Terdahulu</w:t>
      </w:r>
    </w:p>
    <w:p w:rsidR="00EE0BFB" w:rsidRDefault="007B5D64" w:rsidP="00E61B98">
      <w:pPr>
        <w:spacing w:line="360" w:lineRule="auto"/>
        <w:ind w:right="113" w:firstLine="588"/>
        <w:jc w:val="both"/>
        <w:rPr>
          <w:sz w:val="24"/>
          <w:szCs w:val="24"/>
        </w:rPr>
      </w:pPr>
      <w:r>
        <w:rPr>
          <w:sz w:val="24"/>
          <w:szCs w:val="24"/>
        </w:rPr>
        <w:t xml:space="preserve">Tabel 1 menunjukkan penelitian-penelitian terdahulu yang menjadi dasar dari penelitian ini. </w:t>
      </w:r>
      <w:r w:rsidR="00A6148E">
        <w:rPr>
          <w:sz w:val="24"/>
          <w:szCs w:val="24"/>
        </w:rPr>
        <w:t xml:space="preserve">Terdapat beberapa </w:t>
      </w:r>
      <w:r w:rsidR="00167FC4">
        <w:rPr>
          <w:sz w:val="24"/>
          <w:szCs w:val="24"/>
        </w:rPr>
        <w:t xml:space="preserve">fokus </w:t>
      </w:r>
      <w:r w:rsidR="00A6148E">
        <w:rPr>
          <w:sz w:val="24"/>
          <w:szCs w:val="24"/>
        </w:rPr>
        <w:t>penelitian, yaitu:</w:t>
      </w:r>
      <w:r>
        <w:rPr>
          <w:sz w:val="24"/>
          <w:szCs w:val="24"/>
        </w:rPr>
        <w:t xml:space="preserve"> pengujian literasi keuangan terhadap </w:t>
      </w:r>
      <w:r w:rsidR="00A6148E">
        <w:rPr>
          <w:sz w:val="24"/>
          <w:szCs w:val="24"/>
        </w:rPr>
        <w:t xml:space="preserve">keputusan berkonsultasi; penggunaan variabel instrumental dalam menguji hubungan literasi keuangan dan keputusan berkonsultasi, dan penggunaan variabel kontrol dalam menguji hubungan keduanya. </w:t>
      </w:r>
    </w:p>
    <w:p w:rsidR="003D488C" w:rsidRPr="003D488C" w:rsidRDefault="003D488C" w:rsidP="003D488C">
      <w:pPr>
        <w:spacing w:line="360" w:lineRule="auto"/>
        <w:jc w:val="center"/>
        <w:rPr>
          <w:b/>
          <w:sz w:val="24"/>
          <w:szCs w:val="24"/>
          <w:lang w:val="id-ID"/>
        </w:rPr>
      </w:pPr>
      <w:r w:rsidRPr="003D488C">
        <w:rPr>
          <w:b/>
          <w:sz w:val="24"/>
          <w:szCs w:val="24"/>
          <w:lang w:val="id-ID"/>
        </w:rPr>
        <w:t>Tabel 1. Penelitian Terdahulu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848"/>
        <w:gridCol w:w="2020"/>
        <w:gridCol w:w="2419"/>
      </w:tblGrid>
      <w:tr w:rsidR="003D488C" w:rsidRPr="00181F64" w:rsidTr="005068D4">
        <w:trPr>
          <w:tblHeader/>
        </w:trPr>
        <w:tc>
          <w:tcPr>
            <w:tcW w:w="412" w:type="pct"/>
            <w:shd w:val="clear" w:color="auto" w:fill="auto"/>
            <w:vAlign w:val="center"/>
          </w:tcPr>
          <w:p w:rsidR="003D488C" w:rsidRPr="00181F64" w:rsidRDefault="003D488C" w:rsidP="00E864D0">
            <w:pPr>
              <w:jc w:val="center"/>
              <w:rPr>
                <w:b/>
                <w:szCs w:val="24"/>
                <w:lang w:val="id-ID"/>
              </w:rPr>
            </w:pPr>
            <w:r w:rsidRPr="00181F64">
              <w:rPr>
                <w:b/>
                <w:szCs w:val="24"/>
                <w:lang w:val="id-ID"/>
              </w:rPr>
              <w:t>No.</w:t>
            </w:r>
          </w:p>
        </w:tc>
        <w:tc>
          <w:tcPr>
            <w:tcW w:w="1793" w:type="pct"/>
            <w:shd w:val="clear" w:color="auto" w:fill="auto"/>
            <w:vAlign w:val="center"/>
          </w:tcPr>
          <w:p w:rsidR="003D488C" w:rsidRPr="00181F64" w:rsidRDefault="003D488C" w:rsidP="00E864D0">
            <w:pPr>
              <w:jc w:val="center"/>
              <w:rPr>
                <w:b/>
                <w:sz w:val="10"/>
                <w:szCs w:val="10"/>
                <w:lang w:val="id-ID"/>
              </w:rPr>
            </w:pPr>
          </w:p>
          <w:p w:rsidR="003D488C" w:rsidRPr="00181F64" w:rsidRDefault="003D488C" w:rsidP="00E864D0">
            <w:pPr>
              <w:jc w:val="center"/>
              <w:rPr>
                <w:b/>
                <w:szCs w:val="24"/>
                <w:lang w:val="id-ID"/>
              </w:rPr>
            </w:pPr>
            <w:r w:rsidRPr="00181F64">
              <w:rPr>
                <w:b/>
                <w:szCs w:val="24"/>
                <w:lang w:val="id-ID"/>
              </w:rPr>
              <w:t>Judul, Nama Peneliti, dan Tahun Literatur</w:t>
            </w:r>
          </w:p>
          <w:p w:rsidR="003D488C" w:rsidRPr="00181F64" w:rsidRDefault="003D488C" w:rsidP="00E864D0">
            <w:pPr>
              <w:jc w:val="center"/>
              <w:rPr>
                <w:b/>
                <w:sz w:val="10"/>
                <w:szCs w:val="10"/>
                <w:lang w:val="id-ID"/>
              </w:rPr>
            </w:pPr>
          </w:p>
        </w:tc>
        <w:tc>
          <w:tcPr>
            <w:tcW w:w="1272" w:type="pct"/>
            <w:shd w:val="clear" w:color="auto" w:fill="auto"/>
            <w:vAlign w:val="center"/>
          </w:tcPr>
          <w:p w:rsidR="003D488C" w:rsidRPr="00181F64" w:rsidRDefault="003D488C" w:rsidP="00E864D0">
            <w:pPr>
              <w:jc w:val="center"/>
              <w:rPr>
                <w:b/>
                <w:szCs w:val="24"/>
                <w:lang w:val="id-ID"/>
              </w:rPr>
            </w:pPr>
            <w:r w:rsidRPr="00181F64">
              <w:rPr>
                <w:b/>
                <w:szCs w:val="24"/>
                <w:lang w:val="id-ID"/>
              </w:rPr>
              <w:t>Variabel Penelitian</w:t>
            </w:r>
          </w:p>
        </w:tc>
        <w:tc>
          <w:tcPr>
            <w:tcW w:w="1523" w:type="pct"/>
            <w:shd w:val="clear" w:color="auto" w:fill="auto"/>
            <w:vAlign w:val="center"/>
          </w:tcPr>
          <w:p w:rsidR="003D488C" w:rsidRPr="00181F64" w:rsidRDefault="003D488C" w:rsidP="00E864D0">
            <w:pPr>
              <w:jc w:val="center"/>
              <w:rPr>
                <w:b/>
                <w:szCs w:val="24"/>
                <w:lang w:val="id-ID"/>
              </w:rPr>
            </w:pPr>
            <w:r w:rsidRPr="00181F64">
              <w:rPr>
                <w:b/>
                <w:szCs w:val="24"/>
                <w:lang w:val="id-ID"/>
              </w:rPr>
              <w:t xml:space="preserve">Hasil Penelitian </w:t>
            </w:r>
          </w:p>
        </w:tc>
      </w:tr>
      <w:tr w:rsidR="007B5D64" w:rsidRPr="00181F64" w:rsidTr="005068D4">
        <w:tc>
          <w:tcPr>
            <w:tcW w:w="412" w:type="pct"/>
            <w:shd w:val="clear" w:color="auto" w:fill="auto"/>
          </w:tcPr>
          <w:p w:rsidR="007B5D64" w:rsidRPr="007F2250" w:rsidRDefault="007B5D64" w:rsidP="007B5D64">
            <w:pPr>
              <w:jc w:val="center"/>
              <w:rPr>
                <w:szCs w:val="24"/>
                <w:lang w:val="id-ID"/>
              </w:rPr>
            </w:pPr>
            <w:r>
              <w:rPr>
                <w:szCs w:val="24"/>
                <w:lang w:val="id-ID"/>
              </w:rPr>
              <w:t>1.</w:t>
            </w:r>
          </w:p>
        </w:tc>
        <w:tc>
          <w:tcPr>
            <w:tcW w:w="1793" w:type="pct"/>
            <w:shd w:val="clear" w:color="auto" w:fill="auto"/>
          </w:tcPr>
          <w:p w:rsidR="007B5D64" w:rsidRPr="00C64B8A" w:rsidRDefault="007B5D64" w:rsidP="007B5D64">
            <w:pPr>
              <w:rPr>
                <w:i/>
                <w:sz w:val="6"/>
                <w:szCs w:val="6"/>
                <w:lang w:val="id-ID"/>
              </w:rPr>
            </w:pPr>
          </w:p>
          <w:p w:rsidR="007B5D64" w:rsidRPr="009F5766" w:rsidRDefault="007B5D64" w:rsidP="007B5D64">
            <w:pPr>
              <w:rPr>
                <w:b/>
                <w:i/>
                <w:lang w:val="id-ID"/>
              </w:rPr>
            </w:pPr>
            <w:r w:rsidRPr="009F5766">
              <w:rPr>
                <w:i/>
              </w:rPr>
              <w:t>Financial literacy, financial advisors, and information sources on demand for life insurance</w:t>
            </w:r>
          </w:p>
          <w:p w:rsidR="007B5D64" w:rsidRPr="00C64B8A" w:rsidRDefault="007B5D64" w:rsidP="007B5D64">
            <w:pPr>
              <w:rPr>
                <w:b/>
                <w:lang w:val="id-ID"/>
              </w:rPr>
            </w:pPr>
            <w:r>
              <w:rPr>
                <w:b/>
                <w:lang w:val="id-ID"/>
              </w:rPr>
              <w:fldChar w:fldCharType="begin" w:fldLock="1"/>
            </w:r>
            <w:r w:rsidR="00022D84">
              <w:rPr>
                <w:b/>
                <w:lang w:val="id-ID"/>
              </w:rPr>
              <w:instrText>ADDIN CSL_CITATION {"citationItems":[{"id":"ITEM-1","itemData":{"DOI":"10.1016/j.pacfin.2017.04.002","ISSN":"0927538X","abstract":"A logistic regression model was used to investigate the effects of financial literacy, financial advisors, and information sources on life insurance participation. Our empirical findings suggest that people with high financial literacy are more likely to purchase life insurance and that consultations with financial advisors and conversations with family members and friends are both positively associated with the demand for life insurance. Participant characteristics, such as age, gender, marital status, working status, and personal income, are also major factors affecting the demand for life insurance. Moreover, the Taiwan Financial Supervisory Commission education program can increase the demand for life insurance.","author":[{"dropping-particle":"","family":"Lin","given":"Chaonan","non-dropping-particle":"","parse-names":false,"suffix":""},{"dropping-particle":"","family":"Hsiao","given":"Yu Jen","non-dropping-particle":"","parse-names":false,"suffix":""},{"dropping-particle":"","family":"Yeh","given":"Cheng Yung","non-dropping-particle":"","parse-names":false,"suffix":""}],"container-title":"Pacific Basin Finance Journal","id":"ITEM-1","issue":"January 2016","issued":{"date-parts":[["2017"]]},"page":"218-237","publisher":"Elsevier","title":"Financial literacy, financial advisors, and information sources on demand for life insurance","type":"article-journal","volume":"43"},"uris":["http://www.mendeley.com/documents/?uuid=46789298-7a49-4834-a23b-b60f8d782f7d"]}],"mendeley":{"formattedCitation":"(Lin, Hsiao, and Yeh 2017)","manualFormatting":"(C. Lin, Hsiao, dan Yeh 2017)","plainTextFormattedCitation":"(Lin, Hsiao, and Yeh 2017)","previouslyFormattedCitation":"(Lin, Hsiao, and Yeh 2017)"},"properties":{"noteIndex":0},"schema":"https://github.com/citation-style-language/schema/raw/master/csl-citation.json"}</w:instrText>
            </w:r>
            <w:r>
              <w:rPr>
                <w:b/>
                <w:lang w:val="id-ID"/>
              </w:rPr>
              <w:fldChar w:fldCharType="separate"/>
            </w:r>
            <w:r w:rsidRPr="000621F0">
              <w:rPr>
                <w:noProof/>
                <w:lang w:val="id-ID"/>
              </w:rPr>
              <w:t xml:space="preserve">(C. Lin, Hsiao, </w:t>
            </w:r>
            <w:r>
              <w:rPr>
                <w:noProof/>
              </w:rPr>
              <w:t>dan</w:t>
            </w:r>
            <w:r w:rsidRPr="000621F0">
              <w:rPr>
                <w:noProof/>
                <w:lang w:val="id-ID"/>
              </w:rPr>
              <w:t xml:space="preserve"> Yeh 2017)</w:t>
            </w:r>
            <w:r>
              <w:rPr>
                <w:b/>
                <w:lang w:val="id-ID"/>
              </w:rPr>
              <w:fldChar w:fldCharType="end"/>
            </w:r>
          </w:p>
        </w:tc>
        <w:tc>
          <w:tcPr>
            <w:tcW w:w="1272" w:type="pct"/>
            <w:shd w:val="clear" w:color="auto" w:fill="auto"/>
          </w:tcPr>
          <w:p w:rsidR="007B5D64" w:rsidRDefault="007B5D64" w:rsidP="007B5D64">
            <w:pPr>
              <w:numPr>
                <w:ilvl w:val="0"/>
                <w:numId w:val="4"/>
              </w:numPr>
              <w:ind w:left="317" w:hanging="317"/>
              <w:rPr>
                <w:i/>
                <w:szCs w:val="24"/>
                <w:lang w:val="id-ID"/>
              </w:rPr>
            </w:pPr>
            <w:r>
              <w:rPr>
                <w:i/>
                <w:szCs w:val="24"/>
              </w:rPr>
              <w:t>Literasi keuangam</w:t>
            </w:r>
          </w:p>
          <w:p w:rsidR="007B5D64" w:rsidRDefault="007B5D64" w:rsidP="007B5D64">
            <w:pPr>
              <w:numPr>
                <w:ilvl w:val="0"/>
                <w:numId w:val="4"/>
              </w:numPr>
              <w:ind w:left="317" w:hanging="317"/>
              <w:rPr>
                <w:i/>
                <w:szCs w:val="24"/>
                <w:lang w:val="id-ID"/>
              </w:rPr>
            </w:pPr>
            <w:r>
              <w:rPr>
                <w:i/>
                <w:szCs w:val="24"/>
              </w:rPr>
              <w:t>Kepemilikan asuransi jiwa</w:t>
            </w:r>
          </w:p>
          <w:p w:rsidR="007B5D64" w:rsidRDefault="007B5D64" w:rsidP="007B5D64">
            <w:pPr>
              <w:numPr>
                <w:ilvl w:val="0"/>
                <w:numId w:val="4"/>
              </w:numPr>
              <w:ind w:left="317" w:hanging="317"/>
              <w:rPr>
                <w:i/>
                <w:szCs w:val="24"/>
                <w:lang w:val="id-ID"/>
              </w:rPr>
            </w:pPr>
            <w:r>
              <w:rPr>
                <w:i/>
                <w:szCs w:val="24"/>
              </w:rPr>
              <w:t>Sumber informasi</w:t>
            </w:r>
          </w:p>
          <w:p w:rsidR="007B5D64" w:rsidRDefault="007B5D64" w:rsidP="007B5D64">
            <w:pPr>
              <w:rPr>
                <w:i/>
                <w:szCs w:val="24"/>
                <w:lang w:val="id-ID"/>
              </w:rPr>
            </w:pPr>
          </w:p>
        </w:tc>
        <w:tc>
          <w:tcPr>
            <w:tcW w:w="1523" w:type="pct"/>
            <w:shd w:val="clear" w:color="auto" w:fill="auto"/>
          </w:tcPr>
          <w:p w:rsidR="007B5D64" w:rsidRPr="003A7088" w:rsidRDefault="007B5D64" w:rsidP="007B5D64">
            <w:pPr>
              <w:rPr>
                <w:i/>
                <w:sz w:val="6"/>
                <w:szCs w:val="6"/>
                <w:lang w:val="id-ID"/>
              </w:rPr>
            </w:pPr>
          </w:p>
          <w:p w:rsidR="007B5D64" w:rsidRPr="000621F0" w:rsidRDefault="007B5D64" w:rsidP="007B5D64">
            <w:pPr>
              <w:ind w:right="113"/>
              <w:rPr>
                <w:sz w:val="32"/>
                <w:szCs w:val="24"/>
              </w:rPr>
            </w:pPr>
            <w:r w:rsidRPr="000621F0">
              <w:t>Individu dengan literasi keuanga</w:t>
            </w:r>
            <w:r>
              <w:t>n</w:t>
            </w:r>
            <w:r w:rsidRPr="000621F0">
              <w:t xml:space="preserve"> yang tinggi cenderung memiliki asuransi jiwa. keputusan mengasuransikan diri dipengaruhi oleh konsultan maupun keluarga dan teman,</w:t>
            </w:r>
          </w:p>
          <w:p w:rsidR="007B5D64" w:rsidRPr="00E13CB6" w:rsidRDefault="007B5D64" w:rsidP="007B5D64">
            <w:pPr>
              <w:rPr>
                <w:szCs w:val="24"/>
                <w:lang w:val="id-ID"/>
              </w:rPr>
            </w:pPr>
          </w:p>
        </w:tc>
      </w:tr>
      <w:tr w:rsidR="007B5D64" w:rsidRPr="00181F64" w:rsidTr="005068D4">
        <w:tc>
          <w:tcPr>
            <w:tcW w:w="412" w:type="pct"/>
            <w:shd w:val="clear" w:color="auto" w:fill="auto"/>
          </w:tcPr>
          <w:p w:rsidR="007B5D64" w:rsidRDefault="007B5D64" w:rsidP="007B5D64">
            <w:pPr>
              <w:jc w:val="center"/>
              <w:rPr>
                <w:szCs w:val="24"/>
                <w:lang w:val="id-ID"/>
              </w:rPr>
            </w:pPr>
            <w:r>
              <w:rPr>
                <w:szCs w:val="24"/>
                <w:lang w:val="id-ID"/>
              </w:rPr>
              <w:t>2.</w:t>
            </w:r>
          </w:p>
        </w:tc>
        <w:tc>
          <w:tcPr>
            <w:tcW w:w="1793" w:type="pct"/>
            <w:shd w:val="clear" w:color="auto" w:fill="auto"/>
          </w:tcPr>
          <w:p w:rsidR="00F30F7D" w:rsidRPr="009F5766" w:rsidRDefault="00F30F7D" w:rsidP="007B5D64">
            <w:pPr>
              <w:rPr>
                <w:i/>
              </w:rPr>
            </w:pPr>
            <w:r w:rsidRPr="009F5766">
              <w:rPr>
                <w:i/>
              </w:rPr>
              <w:t>Financial literacy, financial advice, and financial behavior</w:t>
            </w:r>
          </w:p>
          <w:p w:rsidR="007B5D64" w:rsidRPr="009A4CFE" w:rsidRDefault="00F30F7D" w:rsidP="007B5D64">
            <w:pPr>
              <w:rPr>
                <w:b/>
                <w:lang w:val="id-ID"/>
              </w:rPr>
            </w:pPr>
            <w:r>
              <w:rPr>
                <w:b/>
                <w:lang w:val="id-ID"/>
              </w:rPr>
              <w:fldChar w:fldCharType="begin" w:fldLock="1"/>
            </w:r>
            <w:r w:rsidR="00022D84">
              <w:rPr>
                <w:b/>
                <w:lang w:val="id-ID"/>
              </w:rPr>
              <w:instrText>ADDIN CSL_CITATION {"citationItems":[{"id":"ITEM-1","itemData":{"DOI":"10.1007/s11573-017-0853-9","ISSN":"18618928","abstract":"In this survey, we review the voluminous body of literature on the measurement and the determinants of financial literacy. Wherever possible, we supplement existing findings with recent descriptive evidence of German households’ financial literacy levels based on the novel Panel on Household Finances dataset, a large-scale survey administered by the Deutsche Bundesbank and representative of the financial situation of households in Germany. Prior research not only documents generally low levels of financial literacy but also finds large heterogeneity in financial literacy across the population, suggesting that economically vulnerable groups are placed at further disadvantage by their lack of financial knowledge. In addition, we assess the literature evaluating financial education as a means to improve financial literacy and financial behavior. Our survey suggests that the evidence with respect to the effectiveness of the programs is rather disappointing. We also review the role of individuals’ financial literacy for the use of professional financial advice and assess whether expert intervention can serve as a substitute to financial literacy. We conclude by discussing several directions for future research.","author":[{"dropping-particle":"","family":"Stolper","given":"Oscar A.","non-dropping-particle":"","parse-names":false,"suffix":""},{"dropping-particle":"","family":"Walter","given":"Andreas","non-dropping-particle":"","parse-names":false,"suffix":""}],"container-title":"Journal of Business Economics","id":"ITEM-1","issue":"5","issued":{"date-parts":[["2017"]]},"page":"581-643","publisher":"Springer Berlin Heidelberg","title":"Financial literacy, financial advice, and financial behavior","type":"article-journal","volume":"87"},"uris":["http://www.mendeley.com/documents/?uuid=883d27b3-2f4f-4762-955c-254b083368bc"]}],"mendeley":{"formattedCitation":"(Stolper and Walter 2017)","manualFormatting":"(Stolper dan Walter 2017)","plainTextFormattedCitation":"(Stolper and Walter 2017)","previouslyFormattedCitation":"(Stolper and Walter 2017)"},"properties":{"noteIndex":0},"schema":"https://github.com/citation-style-language/schema/raw/master/csl-citation.json"}</w:instrText>
            </w:r>
            <w:r>
              <w:rPr>
                <w:b/>
                <w:lang w:val="id-ID"/>
              </w:rPr>
              <w:fldChar w:fldCharType="separate"/>
            </w:r>
            <w:r>
              <w:rPr>
                <w:noProof/>
                <w:lang w:val="id-ID"/>
              </w:rPr>
              <w:t xml:space="preserve">(Stolper </w:t>
            </w:r>
            <w:r w:rsidRPr="00F30F7D">
              <w:rPr>
                <w:noProof/>
                <w:lang w:val="id-ID"/>
              </w:rPr>
              <w:t>d</w:t>
            </w:r>
            <w:r>
              <w:rPr>
                <w:noProof/>
              </w:rPr>
              <w:t>an</w:t>
            </w:r>
            <w:r w:rsidRPr="00F30F7D">
              <w:rPr>
                <w:noProof/>
                <w:lang w:val="id-ID"/>
              </w:rPr>
              <w:t xml:space="preserve"> Walter 2017)</w:t>
            </w:r>
            <w:r>
              <w:rPr>
                <w:b/>
                <w:lang w:val="id-ID"/>
              </w:rPr>
              <w:fldChar w:fldCharType="end"/>
            </w:r>
          </w:p>
        </w:tc>
        <w:tc>
          <w:tcPr>
            <w:tcW w:w="1272" w:type="pct"/>
            <w:shd w:val="clear" w:color="auto" w:fill="auto"/>
          </w:tcPr>
          <w:p w:rsidR="00F30F7D" w:rsidRPr="00022D84" w:rsidRDefault="00F30F7D" w:rsidP="00F30F7D">
            <w:pPr>
              <w:numPr>
                <w:ilvl w:val="0"/>
                <w:numId w:val="13"/>
              </w:numPr>
              <w:ind w:left="355"/>
              <w:rPr>
                <w:szCs w:val="24"/>
                <w:lang w:val="id-ID"/>
              </w:rPr>
            </w:pPr>
            <w:r w:rsidRPr="00022D84">
              <w:rPr>
                <w:szCs w:val="24"/>
              </w:rPr>
              <w:t>Literasi keuangam</w:t>
            </w:r>
          </w:p>
          <w:p w:rsidR="007B5D64" w:rsidRPr="00022D84" w:rsidRDefault="00F30F7D" w:rsidP="00F30F7D">
            <w:pPr>
              <w:numPr>
                <w:ilvl w:val="0"/>
                <w:numId w:val="13"/>
              </w:numPr>
              <w:ind w:left="355"/>
              <w:rPr>
                <w:szCs w:val="24"/>
                <w:lang w:val="id-ID"/>
              </w:rPr>
            </w:pPr>
            <w:r w:rsidRPr="00022D84">
              <w:rPr>
                <w:szCs w:val="24"/>
              </w:rPr>
              <w:t>Keputusan berkonsultasi</w:t>
            </w:r>
          </w:p>
        </w:tc>
        <w:tc>
          <w:tcPr>
            <w:tcW w:w="1523" w:type="pct"/>
            <w:shd w:val="clear" w:color="auto" w:fill="auto"/>
          </w:tcPr>
          <w:p w:rsidR="007B5D64" w:rsidRPr="00F30F7D" w:rsidRDefault="00F30F7D" w:rsidP="007B5D64">
            <w:pPr>
              <w:rPr>
                <w:szCs w:val="24"/>
              </w:rPr>
            </w:pPr>
            <w:r>
              <w:rPr>
                <w:szCs w:val="24"/>
              </w:rPr>
              <w:t xml:space="preserve">Studi literatur ini menunjukkan bahwa literasi keuangan dan keputusan berkonsultasi memiliki hubungan substitusi dalam pengambilan ekputusan keuangan. Artinya, individu dengan literasi keuangan yang buruk dapat membuat keputusan keuangan yang optimal </w:t>
            </w:r>
            <w:r>
              <w:rPr>
                <w:szCs w:val="24"/>
              </w:rPr>
              <w:lastRenderedPageBreak/>
              <w:t>apabila didampingi oleh konsultan</w:t>
            </w:r>
          </w:p>
        </w:tc>
      </w:tr>
      <w:tr w:rsidR="007B5D64" w:rsidRPr="00181F64" w:rsidTr="005068D4">
        <w:tc>
          <w:tcPr>
            <w:tcW w:w="412" w:type="pct"/>
            <w:shd w:val="clear" w:color="auto" w:fill="auto"/>
          </w:tcPr>
          <w:p w:rsidR="007B5D64" w:rsidRDefault="007B5D64" w:rsidP="007B5D64">
            <w:pPr>
              <w:jc w:val="center"/>
              <w:rPr>
                <w:szCs w:val="24"/>
                <w:lang w:val="id-ID"/>
              </w:rPr>
            </w:pPr>
            <w:r>
              <w:rPr>
                <w:szCs w:val="24"/>
                <w:lang w:val="id-ID"/>
              </w:rPr>
              <w:lastRenderedPageBreak/>
              <w:t>3.</w:t>
            </w:r>
          </w:p>
        </w:tc>
        <w:tc>
          <w:tcPr>
            <w:tcW w:w="1793" w:type="pct"/>
            <w:shd w:val="clear" w:color="auto" w:fill="auto"/>
          </w:tcPr>
          <w:p w:rsidR="007B5D64" w:rsidRPr="007E4C3A" w:rsidRDefault="007B5D64" w:rsidP="007B5D64">
            <w:pPr>
              <w:rPr>
                <w:i/>
                <w:lang w:val="id-ID"/>
              </w:rPr>
            </w:pPr>
            <w:r w:rsidRPr="007E4C3A">
              <w:rPr>
                <w:i/>
                <w:lang w:val="id-ID"/>
              </w:rPr>
              <w:t>Planning and Saving for Retirement</w:t>
            </w:r>
          </w:p>
          <w:p w:rsidR="007B5D64" w:rsidRDefault="007B5D64" w:rsidP="007B5D64">
            <w:pPr>
              <w:rPr>
                <w:b/>
                <w:lang w:val="id-ID"/>
              </w:rPr>
            </w:pPr>
            <w:r w:rsidRPr="009A4CFE">
              <w:rPr>
                <w:b/>
                <w:lang w:val="id-ID"/>
              </w:rPr>
              <w:fldChar w:fldCharType="begin" w:fldLock="1"/>
            </w:r>
            <w:r>
              <w:rPr>
                <w:b/>
                <w:lang w:val="id-ID"/>
              </w:rPr>
              <w:instrText>ADDIN CSL_CITATION {"citationItems":[{"id":"ITEM-1","itemData":{"abstract":"There are vast differences in wealth holdings, even among households in similar age groups. In addition, a large percentage of U.S. households arrive close to retirement with little or no wealth. While many explanations can be found to rationalize these facts, approximately thirty percent of households whose head is close to retirement have done little or no planning for retirement. Planning is shaped by the experience of other individuals: individuals learn to plan for retirement from older siblings. They also learn from the experience of old parents. In particular, unpleasant events, such as financial difficulties and health shocks at the end of life, provide incentives toward planning. In addition, planning affects wealth levels as well as portfolio choice. Individuals who plan are more likely to hold large amounts of wealth and to invest their wealth holdings in high return assets, such as stocks. Thus, planning plays an important role in explaining the saving behavior of many households.","author":[{"dropping-particle":"","family":"Lusardi","given":"Annamaria","non-dropping-particle":"","parse-names":false,"suffix":""}],"id":"ITEM-1","issue":"December","issued":{"date-parts":[["2003"]]},"number-of-pages":"1-46","title":"Planning and Saving for Retirement","type":"report"},"uris":["http://www.mendeley.com/documents/?uuid=d91c10fe-d94c-4780-adbd-b8f071893b4f"]}],"mendeley":{"formattedCitation":"(Lusardi 2003)","plainTextFormattedCitation":"(Lusardi 2003)","previouslyFormattedCitation":"(Lusardi 2003)"},"properties":{"noteIndex":0},"schema":"https://github.com/citation-style-language/schema/raw/master/csl-citation.json"}</w:instrText>
            </w:r>
            <w:r w:rsidRPr="009A4CFE">
              <w:rPr>
                <w:b/>
                <w:lang w:val="id-ID"/>
              </w:rPr>
              <w:fldChar w:fldCharType="separate"/>
            </w:r>
            <w:r w:rsidRPr="007E4C3A">
              <w:rPr>
                <w:noProof/>
                <w:lang w:val="id-ID"/>
              </w:rPr>
              <w:t>(Lusardi 2003)</w:t>
            </w:r>
            <w:r w:rsidRPr="009A4CFE">
              <w:rPr>
                <w:b/>
                <w:lang w:val="id-ID"/>
              </w:rPr>
              <w:fldChar w:fldCharType="end"/>
            </w:r>
          </w:p>
          <w:p w:rsidR="007B5D64" w:rsidRPr="009A4CFE" w:rsidRDefault="007B5D64" w:rsidP="007B5D64">
            <w:pPr>
              <w:rPr>
                <w:b/>
                <w:lang w:val="id-ID"/>
              </w:rPr>
            </w:pPr>
          </w:p>
        </w:tc>
        <w:tc>
          <w:tcPr>
            <w:tcW w:w="1272" w:type="pct"/>
            <w:shd w:val="clear" w:color="auto" w:fill="auto"/>
          </w:tcPr>
          <w:p w:rsidR="007B5D64" w:rsidRPr="00022D84" w:rsidRDefault="007B5D64" w:rsidP="007B5D64">
            <w:pPr>
              <w:numPr>
                <w:ilvl w:val="0"/>
                <w:numId w:val="8"/>
              </w:numPr>
              <w:ind w:left="237" w:hanging="237"/>
              <w:rPr>
                <w:szCs w:val="24"/>
                <w:lang w:val="id-ID"/>
              </w:rPr>
            </w:pPr>
            <w:r w:rsidRPr="00022D84">
              <w:rPr>
                <w:szCs w:val="24"/>
                <w:lang w:val="id-ID"/>
              </w:rPr>
              <w:t xml:space="preserve"> </w:t>
            </w:r>
            <w:r w:rsidRPr="00022D84">
              <w:rPr>
                <w:szCs w:val="24"/>
              </w:rPr>
              <w:t>Literasi keuangan</w:t>
            </w:r>
          </w:p>
          <w:p w:rsidR="007B5D64" w:rsidRPr="00022D84" w:rsidRDefault="007B5D64" w:rsidP="007B5D64">
            <w:pPr>
              <w:numPr>
                <w:ilvl w:val="0"/>
                <w:numId w:val="8"/>
              </w:numPr>
              <w:ind w:left="317" w:hanging="317"/>
              <w:rPr>
                <w:szCs w:val="24"/>
                <w:lang w:val="id-ID"/>
              </w:rPr>
            </w:pPr>
            <w:r w:rsidRPr="00022D84">
              <w:rPr>
                <w:szCs w:val="24"/>
              </w:rPr>
              <w:t>Kekayaan</w:t>
            </w:r>
          </w:p>
          <w:p w:rsidR="007B5D64" w:rsidRPr="00022D84" w:rsidRDefault="00FC5614" w:rsidP="007B5D64">
            <w:pPr>
              <w:numPr>
                <w:ilvl w:val="0"/>
                <w:numId w:val="8"/>
              </w:numPr>
              <w:ind w:left="317" w:hanging="317"/>
              <w:rPr>
                <w:szCs w:val="24"/>
                <w:lang w:val="id-ID"/>
              </w:rPr>
            </w:pPr>
            <w:r>
              <w:rPr>
                <w:szCs w:val="24"/>
              </w:rPr>
              <w:t>Pengalaman keuangan</w:t>
            </w:r>
          </w:p>
          <w:p w:rsidR="007B5D64" w:rsidRPr="00022D84" w:rsidRDefault="007B5D64" w:rsidP="007B5D64">
            <w:pPr>
              <w:ind w:left="317"/>
              <w:rPr>
                <w:szCs w:val="24"/>
                <w:lang w:val="id-ID"/>
              </w:rPr>
            </w:pPr>
          </w:p>
        </w:tc>
        <w:tc>
          <w:tcPr>
            <w:tcW w:w="1523" w:type="pct"/>
            <w:shd w:val="clear" w:color="auto" w:fill="auto"/>
          </w:tcPr>
          <w:p w:rsidR="007B5D64" w:rsidRPr="007E4C3A" w:rsidRDefault="007B5D64" w:rsidP="007B5D64">
            <w:r w:rsidRPr="007E4C3A">
              <w:t xml:space="preserve">Literasi keuangan </w:t>
            </w:r>
            <w:r>
              <w:t xml:space="preserve">terinstrumentasi </w:t>
            </w:r>
            <w:r w:rsidRPr="007E4C3A">
              <w:t>terbukti mempengaruhi kekayaan yang dikumpulkan oleh individu</w:t>
            </w:r>
            <w:r w:rsidR="00FC5614">
              <w:t>. Hal ini karena individu belajar dari pengalaman sebelumnya.</w:t>
            </w:r>
          </w:p>
          <w:p w:rsidR="007B5D64" w:rsidRPr="00E9229C" w:rsidRDefault="007B5D64" w:rsidP="007B5D64">
            <w:pPr>
              <w:rPr>
                <w:lang w:val="id-ID"/>
              </w:rPr>
            </w:pPr>
            <w:r>
              <w:rPr>
                <w:lang w:val="id-ID"/>
              </w:rPr>
              <w:t>.</w:t>
            </w:r>
          </w:p>
        </w:tc>
      </w:tr>
      <w:tr w:rsidR="00F30F7D" w:rsidRPr="00181F64" w:rsidTr="005068D4">
        <w:tc>
          <w:tcPr>
            <w:tcW w:w="412" w:type="pct"/>
            <w:shd w:val="clear" w:color="auto" w:fill="auto"/>
          </w:tcPr>
          <w:p w:rsidR="00F30F7D" w:rsidRDefault="00F30F7D" w:rsidP="00F30F7D">
            <w:pPr>
              <w:jc w:val="center"/>
              <w:rPr>
                <w:szCs w:val="24"/>
                <w:lang w:val="id-ID"/>
              </w:rPr>
            </w:pPr>
            <w:r>
              <w:rPr>
                <w:szCs w:val="24"/>
                <w:lang w:val="id-ID"/>
              </w:rPr>
              <w:t>4.</w:t>
            </w:r>
          </w:p>
        </w:tc>
        <w:tc>
          <w:tcPr>
            <w:tcW w:w="1793" w:type="pct"/>
            <w:shd w:val="clear" w:color="auto" w:fill="auto"/>
          </w:tcPr>
          <w:p w:rsidR="00F30F7D" w:rsidRPr="009A4CFE" w:rsidRDefault="00F30F7D" w:rsidP="00F30F7D">
            <w:pPr>
              <w:rPr>
                <w:sz w:val="6"/>
                <w:szCs w:val="6"/>
                <w:lang w:val="id-ID"/>
              </w:rPr>
            </w:pPr>
          </w:p>
          <w:p w:rsidR="00F30F7D" w:rsidRPr="00022D84" w:rsidRDefault="00F30F7D" w:rsidP="00F30F7D">
            <w:pPr>
              <w:rPr>
                <w:i/>
              </w:rPr>
            </w:pPr>
            <w:r w:rsidRPr="00022D84">
              <w:rPr>
                <w:i/>
              </w:rPr>
              <w:t>Financial literacy and retirement planning in the Netherlands</w:t>
            </w:r>
          </w:p>
          <w:p w:rsidR="00F30F7D" w:rsidRPr="009A4CFE" w:rsidRDefault="00F30F7D" w:rsidP="00F30F7D">
            <w:pPr>
              <w:rPr>
                <w:b/>
                <w:lang w:val="id-ID"/>
              </w:rPr>
            </w:pPr>
            <w:r>
              <w:rPr>
                <w:b/>
                <w:lang w:val="id-ID"/>
              </w:rPr>
              <w:fldChar w:fldCharType="begin" w:fldLock="1"/>
            </w:r>
            <w:r>
              <w:rPr>
                <w:b/>
                <w:lang w:val="id-ID"/>
              </w:rPr>
              <w:instrText>ADDIN CSL_CITATION {"citationItems":[{"id":"ITEM-1","itemData":{"DOI":"10.1016/j.joep.2011.02.004","ISBN":"0167-4870","ISSN":"01674870","PMID":"25246403","abstract":"The complexity of financial decisions that households now face has increased to unprecedented levels. At the same time, households seem to lack the financial knowledge to cope with these decisions, including how to save and invest adequately for retirement. In this paper, we examine the relationship between financial knowledge and retirement planning in the Netherlands. For this purpose, we have designed a module on financial literacy and planning for the De Nederlandsche Bank (DNB) Household Survey. We find a strong and positive relationship between financial knowledge and retirement planning; those who are more financially knowledgeable are more likely to plan for retirement. Using information on economics education acquired in school, we show that the nexus of causality goes from financial literacy to planning rather than the other way around. © 2011 Elsevier B.V.","author":[{"dropping-particle":"","family":"Rooij","given":"Maarten C.J.","non-dropping-particle":"van","parse-names":false,"suffix":""},{"dropping-particle":"","family":"Lusardi","given":"Annamaria","non-dropping-particle":"","parse-names":false,"suffix":""},{"dropping-particle":"","family":"Alessie","given":"Rob J.M.","non-dropping-particle":"","parse-names":false,"suffix":""}],"container-title":"Journal of Economic Psychology","id":"ITEM-1","issue":"4","issued":{"date-parts":[["2011"]]},"page":"593-608","publisher":"Elsevier B.V.","title":"Financial literacy and retirement planning in the Netherlands","type":"article-journal","volume":"32"},"uris":["http://www.mendeley.com/documents/?uuid=f75b146a-2739-4fd5-b39c-040252dc97fd"]}],"mendeley":{"formattedCitation":"(M. C. J. van Rooij, Lusardi, and Alessie 2011)","manualFormatting":"(van Rooij, Lusardi, dan Alessie 2011)","plainTextFormattedCitation":"(M. C. J. van Rooij, Lusardi, and Alessie 2011)","previouslyFormattedCitation":"(M. C. J. van Rooij, Lusardi, and Alessie 2011)"},"properties":{"noteIndex":0},"schema":"https://github.com/citation-style-language/schema/raw/master/csl-citation.json"}</w:instrText>
            </w:r>
            <w:r>
              <w:rPr>
                <w:b/>
                <w:lang w:val="id-ID"/>
              </w:rPr>
              <w:fldChar w:fldCharType="separate"/>
            </w:r>
            <w:r>
              <w:rPr>
                <w:noProof/>
                <w:lang w:val="id-ID"/>
              </w:rPr>
              <w:t>(</w:t>
            </w:r>
            <w:r w:rsidRPr="007A2C8C">
              <w:rPr>
                <w:noProof/>
                <w:lang w:val="id-ID"/>
              </w:rPr>
              <w:t>va</w:t>
            </w:r>
            <w:r>
              <w:rPr>
                <w:noProof/>
                <w:lang w:val="id-ID"/>
              </w:rPr>
              <w:t>n Rooij, Lusardi, dan</w:t>
            </w:r>
            <w:r w:rsidRPr="007A2C8C">
              <w:rPr>
                <w:noProof/>
                <w:lang w:val="id-ID"/>
              </w:rPr>
              <w:t xml:space="preserve"> Alessie 2011)</w:t>
            </w:r>
            <w:r>
              <w:rPr>
                <w:b/>
                <w:lang w:val="id-ID"/>
              </w:rPr>
              <w:fldChar w:fldCharType="end"/>
            </w:r>
          </w:p>
        </w:tc>
        <w:tc>
          <w:tcPr>
            <w:tcW w:w="1272" w:type="pct"/>
            <w:shd w:val="clear" w:color="auto" w:fill="auto"/>
          </w:tcPr>
          <w:p w:rsidR="00F30F7D" w:rsidRPr="00022D84" w:rsidRDefault="00F30F7D" w:rsidP="00F30F7D">
            <w:pPr>
              <w:numPr>
                <w:ilvl w:val="0"/>
                <w:numId w:val="3"/>
              </w:numPr>
              <w:ind w:left="317" w:hanging="283"/>
              <w:rPr>
                <w:szCs w:val="24"/>
                <w:lang w:val="id-ID"/>
              </w:rPr>
            </w:pPr>
            <w:r w:rsidRPr="00022D84">
              <w:rPr>
                <w:szCs w:val="24"/>
              </w:rPr>
              <w:t>Literasi keuangan</w:t>
            </w:r>
          </w:p>
          <w:p w:rsidR="00F30F7D" w:rsidRPr="00022D84" w:rsidRDefault="00F30F7D" w:rsidP="00F30F7D">
            <w:pPr>
              <w:numPr>
                <w:ilvl w:val="0"/>
                <w:numId w:val="3"/>
              </w:numPr>
              <w:ind w:left="317" w:hanging="283"/>
              <w:rPr>
                <w:szCs w:val="24"/>
                <w:lang w:val="id-ID"/>
              </w:rPr>
            </w:pPr>
            <w:r w:rsidRPr="00022D84">
              <w:rPr>
                <w:szCs w:val="24"/>
              </w:rPr>
              <w:t>Perencanaan pensiun</w:t>
            </w:r>
          </w:p>
          <w:p w:rsidR="00F30F7D" w:rsidRPr="00022D84" w:rsidRDefault="00F30F7D" w:rsidP="00F30F7D">
            <w:pPr>
              <w:numPr>
                <w:ilvl w:val="0"/>
                <w:numId w:val="3"/>
              </w:numPr>
              <w:ind w:left="317" w:hanging="283"/>
              <w:rPr>
                <w:szCs w:val="24"/>
                <w:lang w:val="id-ID"/>
              </w:rPr>
            </w:pPr>
            <w:r w:rsidRPr="00022D84">
              <w:rPr>
                <w:szCs w:val="24"/>
              </w:rPr>
              <w:t>Pendidikan ekonomi</w:t>
            </w:r>
          </w:p>
        </w:tc>
        <w:tc>
          <w:tcPr>
            <w:tcW w:w="1523" w:type="pct"/>
            <w:shd w:val="clear" w:color="auto" w:fill="auto"/>
          </w:tcPr>
          <w:p w:rsidR="00F30F7D" w:rsidRPr="00A6148E" w:rsidRDefault="00F30F7D" w:rsidP="00F30F7D">
            <w:pPr>
              <w:rPr>
                <w:szCs w:val="24"/>
              </w:rPr>
            </w:pPr>
            <w:r w:rsidRPr="00EE0BFB">
              <w:rPr>
                <w:szCs w:val="24"/>
              </w:rPr>
              <w:t xml:space="preserve">Literasi keuangan </w:t>
            </w:r>
            <w:r>
              <w:rPr>
                <w:szCs w:val="24"/>
              </w:rPr>
              <w:t>terinstrumentasi mempengaruhi keputusan individu untuk memiliki perencanaan pensiun</w:t>
            </w:r>
          </w:p>
        </w:tc>
      </w:tr>
      <w:tr w:rsidR="00F30F7D" w:rsidRPr="00181F64" w:rsidTr="005068D4">
        <w:tc>
          <w:tcPr>
            <w:tcW w:w="412" w:type="pct"/>
            <w:shd w:val="clear" w:color="auto" w:fill="auto"/>
          </w:tcPr>
          <w:p w:rsidR="00F30F7D" w:rsidRDefault="00F30F7D" w:rsidP="00F30F7D">
            <w:pPr>
              <w:jc w:val="center"/>
              <w:rPr>
                <w:szCs w:val="24"/>
                <w:lang w:val="id-ID"/>
              </w:rPr>
            </w:pPr>
            <w:r>
              <w:rPr>
                <w:szCs w:val="24"/>
                <w:lang w:val="id-ID"/>
              </w:rPr>
              <w:t>5.</w:t>
            </w:r>
          </w:p>
        </w:tc>
        <w:tc>
          <w:tcPr>
            <w:tcW w:w="1793" w:type="pct"/>
            <w:shd w:val="clear" w:color="auto" w:fill="auto"/>
          </w:tcPr>
          <w:p w:rsidR="00F30F7D" w:rsidRPr="00022D84" w:rsidRDefault="00F30F7D" w:rsidP="00F30F7D">
            <w:pPr>
              <w:rPr>
                <w:i/>
                <w:sz w:val="6"/>
                <w:szCs w:val="6"/>
                <w:lang w:val="id-ID"/>
              </w:rPr>
            </w:pPr>
          </w:p>
          <w:p w:rsidR="00F30F7D" w:rsidRPr="00022D84" w:rsidRDefault="00F30F7D" w:rsidP="00F30F7D">
            <w:pPr>
              <w:rPr>
                <w:i/>
                <w:lang w:val="id-ID"/>
              </w:rPr>
            </w:pPr>
            <w:r w:rsidRPr="00022D84">
              <w:rPr>
                <w:i/>
              </w:rPr>
              <w:t>Financial literacy, confidence and financial advice seeking</w:t>
            </w:r>
          </w:p>
          <w:p w:rsidR="00F30F7D" w:rsidRPr="00E94700" w:rsidRDefault="00F30F7D" w:rsidP="00F30F7D">
            <w:pPr>
              <w:rPr>
                <w:b/>
                <w:lang w:val="id-ID"/>
              </w:rPr>
            </w:pPr>
            <w:r>
              <w:rPr>
                <w:b/>
                <w:lang w:val="id-ID"/>
              </w:rPr>
              <w:fldChar w:fldCharType="begin" w:fldLock="1"/>
            </w:r>
            <w:r>
              <w:rPr>
                <w:b/>
                <w:lang w:val="id-ID"/>
              </w:rPr>
              <w:instrText>ADDIN CSL_CITATION {"citationItems":[{"id":"ITEM-1","itemData":{"DOI":"10.1016/j.jebo.2016.08.016","ISBN":"15371816","ISSN":"01672681","abstract":"We find that people with higher confidence in their own financial literacy are less likely to seek financial advice, but no relation between objective measures of literacy and advice seeking. The negative association between confidence and advice seeking is more pronounced among wealthy households. We base these findings on the analysis of two rich data sources from the Netherlands: the DNB Household survey and a sample of investors from a large Dutch retail bank. Our results imply that policy makers should be careful to put financial advice forward as a mechanism to curb the ill effects of low financial literacy and that steering people towards more accurate self-assessments seems a more promising route.","author":[{"dropping-particle":"","family":"Kramer","given":"Marc M.","non-dropping-particle":"","parse-names":false,"suffix":""}],"container-title":"Journal of Economic Behavior and Organization","id":"ITEM-1","issue":"January","issued":{"date-parts":[["2016"]]},"page":"198-217","publisher":"Elsevier B.V.","title":"Financial literacy, confidence and financial advice seeking","type":"article-journal","volume":"131"},"uris":["http://www.mendeley.com/documents/?uuid=67fb9ea2-6126-4a6e-8db7-1a116078c6f6"]}],"mendeley":{"formattedCitation":"(Kramer 2016)","plainTextFormattedCitation":"(Kramer 2016)","previouslyFormattedCitation":"(Kramer 2016)"},"properties":{"noteIndex":0},"schema":"https://github.com/citation-style-language/schema/raw/master/csl-citation.json"}</w:instrText>
            </w:r>
            <w:r>
              <w:rPr>
                <w:b/>
                <w:lang w:val="id-ID"/>
              </w:rPr>
              <w:fldChar w:fldCharType="separate"/>
            </w:r>
            <w:r w:rsidRPr="005068D4">
              <w:rPr>
                <w:noProof/>
                <w:lang w:val="id-ID"/>
              </w:rPr>
              <w:t>(Kramer 2016)</w:t>
            </w:r>
            <w:r>
              <w:rPr>
                <w:b/>
                <w:lang w:val="id-ID"/>
              </w:rPr>
              <w:fldChar w:fldCharType="end"/>
            </w:r>
          </w:p>
        </w:tc>
        <w:tc>
          <w:tcPr>
            <w:tcW w:w="1272" w:type="pct"/>
            <w:shd w:val="clear" w:color="auto" w:fill="auto"/>
          </w:tcPr>
          <w:p w:rsidR="00F30F7D" w:rsidRPr="00022D84" w:rsidRDefault="00F30F7D" w:rsidP="00F30F7D">
            <w:pPr>
              <w:ind w:left="317"/>
              <w:rPr>
                <w:sz w:val="6"/>
                <w:szCs w:val="6"/>
                <w:lang w:val="id-ID"/>
              </w:rPr>
            </w:pPr>
          </w:p>
          <w:p w:rsidR="00F30F7D" w:rsidRPr="00022D84" w:rsidRDefault="00F30F7D" w:rsidP="00F30F7D">
            <w:pPr>
              <w:numPr>
                <w:ilvl w:val="0"/>
                <w:numId w:val="5"/>
              </w:numPr>
              <w:ind w:left="317" w:hanging="283"/>
              <w:rPr>
                <w:szCs w:val="24"/>
                <w:lang w:val="id-ID"/>
              </w:rPr>
            </w:pPr>
            <w:r w:rsidRPr="00022D84">
              <w:rPr>
                <w:szCs w:val="24"/>
              </w:rPr>
              <w:t>Literasi keuangan</w:t>
            </w:r>
          </w:p>
          <w:p w:rsidR="00F30F7D" w:rsidRPr="00022D84" w:rsidRDefault="00F30F7D" w:rsidP="00F30F7D">
            <w:pPr>
              <w:numPr>
                <w:ilvl w:val="0"/>
                <w:numId w:val="5"/>
              </w:numPr>
              <w:ind w:left="317" w:hanging="283"/>
              <w:rPr>
                <w:szCs w:val="24"/>
                <w:lang w:val="id-ID"/>
              </w:rPr>
            </w:pPr>
            <w:r w:rsidRPr="00022D84">
              <w:rPr>
                <w:szCs w:val="24"/>
              </w:rPr>
              <w:t>Kepercayaan diri</w:t>
            </w:r>
          </w:p>
          <w:p w:rsidR="00F30F7D" w:rsidRPr="00022D84" w:rsidRDefault="00F30F7D" w:rsidP="00F30F7D">
            <w:pPr>
              <w:numPr>
                <w:ilvl w:val="0"/>
                <w:numId w:val="5"/>
              </w:numPr>
              <w:ind w:left="317" w:hanging="283"/>
              <w:rPr>
                <w:szCs w:val="24"/>
                <w:lang w:val="id-ID"/>
              </w:rPr>
            </w:pPr>
            <w:r w:rsidRPr="00022D84">
              <w:rPr>
                <w:szCs w:val="24"/>
              </w:rPr>
              <w:t xml:space="preserve">Keputusan berkonsultasi </w:t>
            </w:r>
          </w:p>
        </w:tc>
        <w:tc>
          <w:tcPr>
            <w:tcW w:w="1523" w:type="pct"/>
            <w:shd w:val="clear" w:color="auto" w:fill="auto"/>
            <w:vAlign w:val="center"/>
          </w:tcPr>
          <w:p w:rsidR="00F30F7D" w:rsidRPr="00F30F7D" w:rsidRDefault="00F30F7D" w:rsidP="00F30F7D">
            <w:r>
              <w:t>Literasi keuangan tidak terbukti mempengaruhi keputusan berkonsultasi dengan profesional. K</w:t>
            </w:r>
            <w:r w:rsidRPr="005068D4">
              <w:t xml:space="preserve">epercayaan diri yang </w:t>
            </w:r>
            <w:r>
              <w:t>tinggi justru terbukti</w:t>
            </w:r>
            <w:r w:rsidRPr="005068D4">
              <w:t xml:space="preserve"> mengurangi probabilitas individu berkonsultasi dengan </w:t>
            </w:r>
            <w:r>
              <w:t xml:space="preserve">konsultan </w:t>
            </w:r>
            <w:r w:rsidRPr="005068D4">
              <w:t>profesional.</w:t>
            </w:r>
          </w:p>
        </w:tc>
      </w:tr>
      <w:tr w:rsidR="00F30F7D" w:rsidRPr="00181F64" w:rsidTr="005068D4">
        <w:tc>
          <w:tcPr>
            <w:tcW w:w="412" w:type="pct"/>
            <w:shd w:val="clear" w:color="auto" w:fill="auto"/>
          </w:tcPr>
          <w:p w:rsidR="00F30F7D" w:rsidRPr="00181F64" w:rsidRDefault="00F30F7D" w:rsidP="00F30F7D">
            <w:pPr>
              <w:jc w:val="center"/>
              <w:rPr>
                <w:szCs w:val="24"/>
                <w:lang w:val="id-ID"/>
              </w:rPr>
            </w:pPr>
            <w:r>
              <w:rPr>
                <w:szCs w:val="24"/>
                <w:lang w:val="id-ID"/>
              </w:rPr>
              <w:t>6</w:t>
            </w:r>
            <w:r w:rsidRPr="00181F64">
              <w:rPr>
                <w:szCs w:val="24"/>
                <w:lang w:val="id-ID"/>
              </w:rPr>
              <w:t>.</w:t>
            </w:r>
          </w:p>
        </w:tc>
        <w:tc>
          <w:tcPr>
            <w:tcW w:w="1793" w:type="pct"/>
            <w:shd w:val="clear" w:color="auto" w:fill="auto"/>
          </w:tcPr>
          <w:p w:rsidR="00F30F7D" w:rsidRPr="00C64B8A" w:rsidRDefault="00F30F7D" w:rsidP="00F30F7D">
            <w:pPr>
              <w:rPr>
                <w:i/>
                <w:sz w:val="6"/>
                <w:szCs w:val="6"/>
                <w:lang w:val="id-ID"/>
              </w:rPr>
            </w:pPr>
          </w:p>
          <w:p w:rsidR="00F30F7D" w:rsidRPr="00022D84" w:rsidRDefault="00F30F7D" w:rsidP="00F30F7D">
            <w:pPr>
              <w:rPr>
                <w:b/>
                <w:i/>
                <w:lang w:val="id-ID"/>
              </w:rPr>
            </w:pPr>
            <w:r w:rsidRPr="00022D84">
              <w:rPr>
                <w:i/>
              </w:rPr>
              <w:t>Precautionary savings, retirement planning and misperceptions of financial literacy</w:t>
            </w:r>
          </w:p>
          <w:p w:rsidR="00F30F7D" w:rsidRPr="00017FF8" w:rsidRDefault="00F30F7D" w:rsidP="00F30F7D">
            <w:pPr>
              <w:rPr>
                <w:b/>
                <w:lang w:val="id-ID"/>
              </w:rPr>
            </w:pPr>
            <w:r>
              <w:rPr>
                <w:b/>
                <w:lang w:val="id-ID"/>
              </w:rPr>
              <w:fldChar w:fldCharType="begin" w:fldLock="1"/>
            </w:r>
            <w:r>
              <w:rPr>
                <w:b/>
                <w:lang w:val="id-ID"/>
              </w:rPr>
              <w:instrText>ADDIN CSL_CITATION {"citationItems":[{"id":"ITEM-1","itemData":{"DOI":"10.1016/j.jfineco.2017.07.008","ISSN":"0304405X","abstract":"We measure financial literacy among LinkedIn members, complementing standard questions with additional questions that allow us to gauge self-perceptions of financial literacy. Average financial literacy is surprisingly low given the demographics of our sample: fewer than two-thirds of chief financial officers, chief executive officers, and chief operating officers complete the test correctly. Financial literacy, precautionary savings and retirement planning are positively correlated, but this is mostly driven by perceived, not actual, literacy: controlling for self-perceptions, actual literacy has low predictive power. Perceptions drive decision-making among low-literacy respondents and are associated with mistaken beliefs about financial products and less willingness to accept financial advice.","author":[{"dropping-particle":"","family":"Anderson","given":"Anders","non-dropping-particle":"","parse-names":false,"suffix":""},{"dropping-particle":"","family":"Baker","given":"Forest","non-dropping-particle":"","parse-names":false,"suffix":""},{"dropping-particle":"","family":"Robinson","given":"David T.","non-dropping-particle":"","parse-names":false,"suffix":""}],"container-title":"Journal of Financial Economics","id":"ITEM-1","issue":"15","issued":{"date-parts":[["2017"]]},"title":"Precautionary savings, retirement planning and misperceptions of financial literacy","type":"article-journal"},"uris":["http://www.mendeley.com/documents/?uuid=75d85017-a404-4aba-bdef-42710886c649"]}],"mendeley":{"formattedCitation":"(Anderson, Baker, and Robinson 2017)","manualFormatting":"(Anderson, Baker, dan Robinson 2017)","plainTextFormattedCitation":"(Anderson, Baker, and Robinson 2017)","previouslyFormattedCitation":"(Anderson, Baker, and Robinson 2017)"},"properties":{"noteIndex":0},"schema":"https://github.com/citation-style-language/schema/raw/master/csl-citation.json"}</w:instrText>
            </w:r>
            <w:r>
              <w:rPr>
                <w:b/>
                <w:lang w:val="id-ID"/>
              </w:rPr>
              <w:fldChar w:fldCharType="separate"/>
            </w:r>
            <w:r w:rsidRPr="000621F0">
              <w:rPr>
                <w:noProof/>
                <w:lang w:val="id-ID"/>
              </w:rPr>
              <w:t xml:space="preserve">(Anderson, Baker, </w:t>
            </w:r>
            <w:r>
              <w:rPr>
                <w:noProof/>
              </w:rPr>
              <w:t>dan</w:t>
            </w:r>
            <w:r w:rsidRPr="000621F0">
              <w:rPr>
                <w:noProof/>
                <w:lang w:val="id-ID"/>
              </w:rPr>
              <w:t xml:space="preserve"> Robinson 2017)</w:t>
            </w:r>
            <w:r>
              <w:rPr>
                <w:b/>
                <w:lang w:val="id-ID"/>
              </w:rPr>
              <w:fldChar w:fldCharType="end"/>
            </w:r>
          </w:p>
        </w:tc>
        <w:tc>
          <w:tcPr>
            <w:tcW w:w="1272" w:type="pct"/>
            <w:shd w:val="clear" w:color="auto" w:fill="auto"/>
          </w:tcPr>
          <w:p w:rsidR="00F30F7D" w:rsidRPr="00022D84" w:rsidRDefault="00F30F7D" w:rsidP="00F30F7D">
            <w:pPr>
              <w:numPr>
                <w:ilvl w:val="0"/>
                <w:numId w:val="9"/>
              </w:numPr>
              <w:ind w:left="317" w:hanging="317"/>
              <w:rPr>
                <w:szCs w:val="24"/>
                <w:lang w:val="id-ID"/>
              </w:rPr>
            </w:pPr>
            <w:r w:rsidRPr="00022D84">
              <w:rPr>
                <w:szCs w:val="24"/>
              </w:rPr>
              <w:t>Literasi keuangan</w:t>
            </w:r>
          </w:p>
          <w:p w:rsidR="00F30F7D" w:rsidRPr="00022D84" w:rsidRDefault="00F30F7D" w:rsidP="00F30F7D">
            <w:pPr>
              <w:numPr>
                <w:ilvl w:val="0"/>
                <w:numId w:val="9"/>
              </w:numPr>
              <w:ind w:left="317" w:hanging="317"/>
              <w:rPr>
                <w:szCs w:val="24"/>
                <w:lang w:val="id-ID"/>
              </w:rPr>
            </w:pPr>
            <w:r w:rsidRPr="00022D84">
              <w:rPr>
                <w:szCs w:val="24"/>
              </w:rPr>
              <w:t>Kepercayaan diri</w:t>
            </w:r>
          </w:p>
          <w:p w:rsidR="00F30F7D" w:rsidRPr="00022D84" w:rsidRDefault="00F30F7D" w:rsidP="00F30F7D">
            <w:pPr>
              <w:numPr>
                <w:ilvl w:val="0"/>
                <w:numId w:val="9"/>
              </w:numPr>
              <w:ind w:left="317" w:hanging="317"/>
              <w:rPr>
                <w:szCs w:val="24"/>
                <w:lang w:val="id-ID"/>
              </w:rPr>
            </w:pPr>
            <w:r w:rsidRPr="00022D84">
              <w:rPr>
                <w:szCs w:val="24"/>
              </w:rPr>
              <w:t>Perencanaan pensiun</w:t>
            </w:r>
          </w:p>
          <w:p w:rsidR="00F30F7D" w:rsidRPr="00022D84" w:rsidRDefault="00F30F7D" w:rsidP="00F30F7D">
            <w:pPr>
              <w:numPr>
                <w:ilvl w:val="0"/>
                <w:numId w:val="9"/>
              </w:numPr>
              <w:ind w:left="317" w:hanging="317"/>
              <w:rPr>
                <w:szCs w:val="24"/>
                <w:lang w:val="id-ID"/>
              </w:rPr>
            </w:pPr>
            <w:r w:rsidRPr="00022D84">
              <w:rPr>
                <w:szCs w:val="24"/>
              </w:rPr>
              <w:t>Simpanan darurat</w:t>
            </w:r>
          </w:p>
        </w:tc>
        <w:tc>
          <w:tcPr>
            <w:tcW w:w="1523" w:type="pct"/>
            <w:shd w:val="clear" w:color="auto" w:fill="auto"/>
          </w:tcPr>
          <w:p w:rsidR="00F30F7D" w:rsidRPr="003A7088" w:rsidRDefault="00F30F7D" w:rsidP="00F30F7D">
            <w:pPr>
              <w:rPr>
                <w:i/>
                <w:sz w:val="6"/>
                <w:szCs w:val="6"/>
                <w:lang w:val="id-ID"/>
              </w:rPr>
            </w:pPr>
          </w:p>
          <w:p w:rsidR="00F30F7D" w:rsidRPr="00017FF8" w:rsidRDefault="00F30F7D" w:rsidP="00A6148E">
            <w:pPr>
              <w:rPr>
                <w:i/>
                <w:szCs w:val="24"/>
                <w:lang w:val="id-ID"/>
              </w:rPr>
            </w:pPr>
            <w:r>
              <w:rPr>
                <w:i/>
                <w:szCs w:val="24"/>
              </w:rPr>
              <w:t xml:space="preserve">Predictive power </w:t>
            </w:r>
            <w:r w:rsidRPr="00022D84">
              <w:rPr>
                <w:szCs w:val="24"/>
              </w:rPr>
              <w:t xml:space="preserve">dari literasi keuangan terhadap keputusan keuangan menjadi semakin rendah bila </w:t>
            </w:r>
            <w:r w:rsidR="00A6148E" w:rsidRPr="00022D84">
              <w:rPr>
                <w:szCs w:val="24"/>
              </w:rPr>
              <w:t>menambahkan</w:t>
            </w:r>
            <w:r w:rsidRPr="00022D84">
              <w:rPr>
                <w:szCs w:val="24"/>
              </w:rPr>
              <w:t xml:space="preserve"> kepercayaan diri</w:t>
            </w:r>
            <w:r w:rsidR="00A6148E" w:rsidRPr="00022D84">
              <w:rPr>
                <w:szCs w:val="24"/>
              </w:rPr>
              <w:t xml:space="preserve"> sebagai variabel kontrol selain kaarketr demografis</w:t>
            </w:r>
            <w:r w:rsidRPr="00022D84">
              <w:rPr>
                <w:szCs w:val="24"/>
              </w:rPr>
              <w:t>.</w:t>
            </w:r>
          </w:p>
        </w:tc>
      </w:tr>
    </w:tbl>
    <w:p w:rsidR="00E61B98" w:rsidRPr="00387A07" w:rsidRDefault="00E61B98" w:rsidP="00E61B98">
      <w:pPr>
        <w:pStyle w:val="Heading2"/>
        <w:numPr>
          <w:ilvl w:val="0"/>
          <w:numId w:val="0"/>
        </w:numPr>
        <w:spacing w:before="0" w:after="0" w:line="360" w:lineRule="auto"/>
        <w:rPr>
          <w:rFonts w:ascii="Times New Roman" w:hAnsi="Times New Roman" w:cs="Times New Roman"/>
          <w:i w:val="0"/>
          <w:sz w:val="24"/>
          <w:szCs w:val="24"/>
        </w:rPr>
      </w:pPr>
      <w:r>
        <w:rPr>
          <w:rFonts w:ascii="Times New Roman" w:hAnsi="Times New Roman" w:cs="Times New Roman"/>
          <w:i w:val="0"/>
          <w:sz w:val="24"/>
          <w:szCs w:val="24"/>
        </w:rPr>
        <w:t>K</w:t>
      </w:r>
      <w:r w:rsidRPr="00387A07">
        <w:rPr>
          <w:rFonts w:ascii="Times New Roman" w:hAnsi="Times New Roman" w:cs="Times New Roman"/>
          <w:i w:val="0"/>
          <w:sz w:val="24"/>
          <w:szCs w:val="24"/>
        </w:rPr>
        <w:t>e</w:t>
      </w:r>
      <w:r>
        <w:rPr>
          <w:rFonts w:ascii="Times New Roman" w:hAnsi="Times New Roman" w:cs="Times New Roman"/>
          <w:i w:val="0"/>
          <w:sz w:val="24"/>
          <w:szCs w:val="24"/>
        </w:rPr>
        <w:t xml:space="preserve">rangka Pikir </w:t>
      </w:r>
    </w:p>
    <w:p w:rsidR="00022D84" w:rsidRDefault="00A6148E" w:rsidP="00E61B98">
      <w:pPr>
        <w:spacing w:line="360" w:lineRule="auto"/>
        <w:ind w:right="113" w:firstLine="588"/>
        <w:jc w:val="both"/>
        <w:rPr>
          <w:sz w:val="24"/>
          <w:szCs w:val="24"/>
        </w:rPr>
      </w:pPr>
      <w:r>
        <w:rPr>
          <w:sz w:val="24"/>
          <w:szCs w:val="24"/>
        </w:rPr>
        <w:t>Berdasarkan tinjauan pustaka pada bagian sebelumnya,</w:t>
      </w:r>
      <w:r w:rsidR="00022D84">
        <w:rPr>
          <w:sz w:val="24"/>
          <w:szCs w:val="24"/>
        </w:rPr>
        <w:t xml:space="preserve"> individu dengan literasi keuangan yang lebih baik memiliki keputusan keuangan yang lebih baik. Ia akan secara cermat mengalokasikan pendapatannya untuk keperluan konsumsi, tabungan dan investasi; melakukan perencanaan keuangan jangka mennegah dan jangka panjang seperti simpanan darurat</w:t>
      </w:r>
      <w:r w:rsidR="009F5766">
        <w:rPr>
          <w:sz w:val="24"/>
          <w:szCs w:val="24"/>
        </w:rPr>
        <w:t xml:space="preserve"> hingga tabungan pensiun; memilih produk investasi yang optimal sesuai preferensi risiko dan imbal hasil investasi; menentukan tingkat hutang yang optimal sesuai jumlah hutang, jangka waktu pinjaman serta tingkat suku bunga; dan tidak sungkan meminta bantuan dari konsultan profesional dalam melakukan semua hal tersebut.</w:t>
      </w:r>
      <w:r w:rsidR="00022D84">
        <w:rPr>
          <w:sz w:val="24"/>
          <w:szCs w:val="24"/>
        </w:rPr>
        <w:t xml:space="preserve"> </w:t>
      </w:r>
    </w:p>
    <w:p w:rsidR="00022D84" w:rsidRDefault="009F5766" w:rsidP="00E61B98">
      <w:pPr>
        <w:spacing w:line="360" w:lineRule="auto"/>
        <w:ind w:right="113" w:firstLine="588"/>
        <w:jc w:val="both"/>
        <w:rPr>
          <w:sz w:val="24"/>
          <w:szCs w:val="24"/>
        </w:rPr>
      </w:pPr>
      <w:r>
        <w:rPr>
          <w:sz w:val="24"/>
          <w:szCs w:val="24"/>
        </w:rPr>
        <w:lastRenderedPageBreak/>
        <w:t>P</w:t>
      </w:r>
      <w:r w:rsidR="00A6148E">
        <w:rPr>
          <w:sz w:val="24"/>
          <w:szCs w:val="24"/>
        </w:rPr>
        <w:t>e</w:t>
      </w:r>
      <w:r w:rsidR="00022D84">
        <w:rPr>
          <w:sz w:val="24"/>
          <w:szCs w:val="24"/>
        </w:rPr>
        <w:t>neliti</w:t>
      </w:r>
      <w:r w:rsidR="00A6148E">
        <w:rPr>
          <w:sz w:val="24"/>
          <w:szCs w:val="24"/>
        </w:rPr>
        <w:t xml:space="preserve"> </w:t>
      </w:r>
      <w:r w:rsidR="00022D84">
        <w:rPr>
          <w:sz w:val="24"/>
          <w:szCs w:val="24"/>
        </w:rPr>
        <w:t>menduga bahwa literasi keuangan akan mempengaruhi keputusan individu untuk berkonsultasi dengan profesional. Artinya, semakin tinggi literasi keuangan maka semakin besar probabilitas ia berkonsultasi pad</w:t>
      </w:r>
      <w:r>
        <w:rPr>
          <w:sz w:val="24"/>
          <w:szCs w:val="24"/>
        </w:rPr>
        <w:t>a konsultan profesional, dan sebaliknya.</w:t>
      </w:r>
      <w:r w:rsidR="00FC5614">
        <w:rPr>
          <w:sz w:val="24"/>
          <w:szCs w:val="24"/>
        </w:rPr>
        <w:t xml:space="preserve"> </w:t>
      </w:r>
    </w:p>
    <w:p w:rsidR="002A559D" w:rsidRDefault="002A559D" w:rsidP="003E07C1">
      <w:pPr>
        <w:spacing w:line="360" w:lineRule="auto"/>
        <w:rPr>
          <w:sz w:val="24"/>
          <w:szCs w:val="24"/>
          <w:lang w:val="id-ID"/>
        </w:rPr>
      </w:pPr>
    </w:p>
    <w:p w:rsidR="002A559D" w:rsidRDefault="00A6148E" w:rsidP="003E07C1">
      <w:pPr>
        <w:spacing w:line="360" w:lineRule="auto"/>
        <w:rPr>
          <w:sz w:val="24"/>
          <w:szCs w:val="24"/>
          <w:lang w:val="id-ID"/>
        </w:rPr>
      </w:pPr>
      <w:r>
        <w:rPr>
          <w:noProof/>
          <w:sz w:val="24"/>
          <w:szCs w:val="24"/>
          <w:lang w:val="id-ID" w:eastAsia="id-ID"/>
        </w:rPr>
        <mc:AlternateContent>
          <mc:Choice Requires="wpg">
            <w:drawing>
              <wp:anchor distT="0" distB="0" distL="114300" distR="114300" simplePos="0" relativeHeight="251670528" behindDoc="0" locked="0" layoutInCell="1" allowOverlap="1">
                <wp:simplePos x="0" y="0"/>
                <wp:positionH relativeFrom="column">
                  <wp:posOffset>806909</wp:posOffset>
                </wp:positionH>
                <wp:positionV relativeFrom="paragraph">
                  <wp:posOffset>62879</wp:posOffset>
                </wp:positionV>
                <wp:extent cx="3641649" cy="1040860"/>
                <wp:effectExtent l="0" t="0" r="16510" b="26035"/>
                <wp:wrapNone/>
                <wp:docPr id="4" name="Group 4"/>
                <wp:cNvGraphicFramePr/>
                <a:graphic xmlns:a="http://schemas.openxmlformats.org/drawingml/2006/main">
                  <a:graphicData uri="http://schemas.microsoft.com/office/word/2010/wordprocessingGroup">
                    <wpg:wgp>
                      <wpg:cNvGrpSpPr/>
                      <wpg:grpSpPr>
                        <a:xfrm>
                          <a:off x="0" y="0"/>
                          <a:ext cx="3641649" cy="1040860"/>
                          <a:chOff x="0" y="0"/>
                          <a:chExt cx="3641649" cy="1040860"/>
                        </a:xfrm>
                      </wpg:grpSpPr>
                      <wps:wsp>
                        <wps:cNvPr id="91" name="Oval 91"/>
                        <wps:cNvSpPr>
                          <a:spLocks noChangeArrowheads="1"/>
                        </wps:cNvSpPr>
                        <wps:spPr bwMode="auto">
                          <a:xfrm>
                            <a:off x="0" y="58365"/>
                            <a:ext cx="1111665" cy="863751"/>
                          </a:xfrm>
                          <a:prstGeom prst="ellipse">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62FD" w:rsidRPr="00315228" w:rsidRDefault="00A462FD" w:rsidP="003E07C1">
                              <w:pPr>
                                <w:overflowPunct w:val="0"/>
                                <w:jc w:val="center"/>
                                <w:rPr>
                                  <w:color w:val="000000"/>
                                  <w:kern w:val="1"/>
                                  <w:lang w:val="id-ID"/>
                                </w:rPr>
                              </w:pPr>
                              <w:r>
                                <w:rPr>
                                  <w:color w:val="000000"/>
                                  <w:kern w:val="1"/>
                                </w:rPr>
                                <w:t>Literasi Keuangan</w:t>
                              </w:r>
                              <w:r w:rsidRPr="00315228">
                                <w:rPr>
                                  <w:color w:val="000000"/>
                                  <w:kern w:val="1"/>
                                  <w:lang w:val="id-ID"/>
                                </w:rPr>
                                <w:t xml:space="preserve"> </w:t>
                              </w:r>
                            </w:p>
                          </w:txbxContent>
                        </wps:txbx>
                        <wps:bodyPr rot="0" vert="horz" wrap="square" lIns="91440" tIns="45720" rIns="91440" bIns="45720" anchor="ctr" anchorCtr="0">
                          <a:noAutofit/>
                        </wps:bodyPr>
                      </wps:wsp>
                      <wps:wsp>
                        <wps:cNvPr id="90" name="Oval 90"/>
                        <wps:cNvSpPr>
                          <a:spLocks noChangeArrowheads="1"/>
                        </wps:cNvSpPr>
                        <wps:spPr bwMode="auto">
                          <a:xfrm>
                            <a:off x="2256817" y="0"/>
                            <a:ext cx="1384832" cy="1040860"/>
                          </a:xfrm>
                          <a:prstGeom prst="ellipse">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62FD" w:rsidRPr="00A6148E" w:rsidRDefault="00A462FD" w:rsidP="003E07C1">
                              <w:pPr>
                                <w:overflowPunct w:val="0"/>
                                <w:jc w:val="center"/>
                                <w:rPr>
                                  <w:color w:val="000000"/>
                                  <w:kern w:val="1"/>
                                </w:rPr>
                              </w:pPr>
                              <w:r w:rsidRPr="00A6148E">
                                <w:rPr>
                                  <w:color w:val="000000"/>
                                  <w:kern w:val="1"/>
                                </w:rPr>
                                <w:t xml:space="preserve">Keputusan berkonsultasi </w:t>
                              </w:r>
                            </w:p>
                          </w:txbxContent>
                        </wps:txbx>
                        <wps:bodyPr rot="0" vert="horz" wrap="square" lIns="91440" tIns="45720" rIns="91440" bIns="45720" anchor="ctr" anchorCtr="0">
                          <a:noAutofit/>
                        </wps:bodyPr>
                      </wps:wsp>
                      <wps:wsp>
                        <wps:cNvPr id="89" name="Text Box 89"/>
                        <wps:cNvSpPr txBox="1">
                          <a:spLocks noChangeArrowheads="1"/>
                        </wps:cNvSpPr>
                        <wps:spPr bwMode="auto">
                          <a:xfrm>
                            <a:off x="1498060" y="262646"/>
                            <a:ext cx="2686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2FD" w:rsidRPr="001104F0" w:rsidRDefault="00A462FD" w:rsidP="003E07C1">
                              <w:pPr>
                                <w:pStyle w:val="FrameContents"/>
                                <w:jc w:val="center"/>
                                <w:rPr>
                                  <w:sz w:val="20"/>
                                  <w:szCs w:val="20"/>
                                </w:rPr>
                              </w:pPr>
                              <w:r w:rsidRPr="001104F0">
                                <w:rPr>
                                  <w:rFonts w:ascii="Times New Roman" w:hAnsi="Times New Roman"/>
                                  <w:color w:val="000000"/>
                                  <w:sz w:val="20"/>
                                  <w:szCs w:val="20"/>
                                </w:rPr>
                                <w:t>H</w:t>
                              </w:r>
                              <w:r>
                                <w:rPr>
                                  <w:rFonts w:ascii="Adobe Arabic" w:hAnsi="Adobe Arabic" w:cs="Adobe Arabic"/>
                                  <w:color w:val="000000"/>
                                  <w:sz w:val="20"/>
                                  <w:szCs w:val="20"/>
                                </w:rPr>
                                <w:t>1</w:t>
                              </w:r>
                            </w:p>
                          </w:txbxContent>
                        </wps:txbx>
                        <wps:bodyPr rot="0" vert="horz" wrap="square" lIns="0" tIns="0" rIns="0" bIns="0" anchor="t" anchorCtr="0" upright="1">
                          <a:noAutofit/>
                        </wps:bodyPr>
                      </wps:wsp>
                      <wps:wsp>
                        <wps:cNvPr id="1" name="Straight Arrow Connector 1"/>
                        <wps:cNvCnPr/>
                        <wps:spPr>
                          <a:xfrm>
                            <a:off x="1138137" y="466927"/>
                            <a:ext cx="10928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 o:spid="_x0000_s1026" style="position:absolute;margin-left:63.55pt;margin-top:4.95pt;width:286.75pt;height:81.95pt;z-index:251670528" coordsize="36416,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">
                <v:oval id="Oval 91" o:spid="_x0000_s1027" style="position:absolute;top:583;width:11116;height:8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2WOMUA&#10;AADbAAAADwAAAGRycy9kb3ducmV2LnhtbESPQWvCQBSE70L/w/IKvYjZRFQ0ZpU20NZro+j1mX0m&#10;abNvQ3ar8d93C4Ueh5n5hsm2g2nFlXrXWFaQRDEI4tLqhisFh/3rZAnCeWSNrWVScCcH283DKMNU&#10;2xt/0LXwlQgQdikqqL3vUildWZNBF9mOOHgX2xv0QfaV1D3eAty0chrHC2mw4bBQY0d5TeVX8W0U&#10;vMzms/z8WSzeTsn8OLbTe7J7z5V6ehye1yA8Df4//NfeaQWrBH6/h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ZY4xQAAANsAAAAPAAAAAAAAAAAAAAAAAJgCAABkcnMv&#10;ZG93bnJldi54bWxQSwUGAAAAAAQABAD1AAAAigMAAAAA&#10;" strokeweight=".35mm">
                  <v:stroke joinstyle="miter" endcap="square"/>
                  <v:textbox>
                    <w:txbxContent>
                      <w:p w:rsidR="00A462FD" w:rsidRPr="00315228" w:rsidRDefault="00A462FD" w:rsidP="003E07C1">
                        <w:pPr>
                          <w:overflowPunct w:val="0"/>
                          <w:jc w:val="center"/>
                          <w:rPr>
                            <w:color w:val="000000"/>
                            <w:kern w:val="1"/>
                            <w:lang w:val="id-ID"/>
                          </w:rPr>
                        </w:pPr>
                        <w:r>
                          <w:rPr>
                            <w:color w:val="000000"/>
                            <w:kern w:val="1"/>
                          </w:rPr>
                          <w:t>Literasi Keuangan</w:t>
                        </w:r>
                        <w:r w:rsidRPr="00315228">
                          <w:rPr>
                            <w:color w:val="000000"/>
                            <w:kern w:val="1"/>
                            <w:lang w:val="id-ID"/>
                          </w:rPr>
                          <w:t xml:space="preserve"> </w:t>
                        </w:r>
                      </w:p>
                    </w:txbxContent>
                  </v:textbox>
                </v:oval>
                <v:oval id="Oval 90" o:spid="_x0000_s1028" style="position:absolute;left:22568;width:13848;height:10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zo8EA&#10;AADbAAAADwAAAGRycy9kb3ducmV2LnhtbERPTWvCQBC9C/0PyxR6Ed1EVDS6Shuw9WoUvY7ZMYnN&#10;zobsqvHfdw8Fj4/3vVx3phZ3al1lWUE8jEAQ51ZXXCg47DeDGQjnkTXWlknBkxysV2+9JSbaPnhH&#10;98wXIoSwS1BB6X2TSOnykgy6oW2IA3exrUEfYFtI3eIjhJtajqJoKg1WHBpKbCgtKf/NbkbB13gy&#10;Ts/XbPp9iifHvh094+1PqtTHe/e5AOGp8y/xv3urFczD+v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RM6PBAAAA2wAAAA8AAAAAAAAAAAAAAAAAmAIAAGRycy9kb3du&#10;cmV2LnhtbFBLBQYAAAAABAAEAPUAAACGAwAAAAA=&#10;" strokeweight=".35mm">
                  <v:stroke joinstyle="miter" endcap="square"/>
                  <v:textbox>
                    <w:txbxContent>
                      <w:p w:rsidR="00A462FD" w:rsidRPr="00A6148E" w:rsidRDefault="00A462FD" w:rsidP="003E07C1">
                        <w:pPr>
                          <w:overflowPunct w:val="0"/>
                          <w:jc w:val="center"/>
                          <w:rPr>
                            <w:color w:val="000000"/>
                            <w:kern w:val="1"/>
                          </w:rPr>
                        </w:pPr>
                        <w:r w:rsidRPr="00A6148E">
                          <w:rPr>
                            <w:color w:val="000000"/>
                            <w:kern w:val="1"/>
                          </w:rPr>
                          <w:t xml:space="preserve">Keputusan berkonsultasi </w:t>
                        </w:r>
                      </w:p>
                    </w:txbxContent>
                  </v:textbox>
                </v:oval>
                <v:shapetype id="_x0000_t202" coordsize="21600,21600" o:spt="202" path="m,l,21600r21600,l21600,xe">
                  <v:stroke joinstyle="miter"/>
                  <v:path gradientshapeok="t" o:connecttype="rect"/>
                </v:shapetype>
                <v:shape id="Text Box 89" o:spid="_x0000_s1029" type="#_x0000_t202" style="position:absolute;left:14980;top:2626;width:268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A462FD" w:rsidRPr="001104F0" w:rsidRDefault="00A462FD" w:rsidP="003E07C1">
                        <w:pPr>
                          <w:pStyle w:val="FrameContents"/>
                          <w:jc w:val="center"/>
                          <w:rPr>
                            <w:sz w:val="20"/>
                            <w:szCs w:val="20"/>
                          </w:rPr>
                        </w:pPr>
                        <w:r w:rsidRPr="001104F0">
                          <w:rPr>
                            <w:rFonts w:ascii="Times New Roman" w:hAnsi="Times New Roman"/>
                            <w:color w:val="000000"/>
                            <w:sz w:val="20"/>
                            <w:szCs w:val="20"/>
                          </w:rPr>
                          <w:t>H</w:t>
                        </w:r>
                        <w:r>
                          <w:rPr>
                            <w:rFonts w:ascii="Adobe Arabic" w:hAnsi="Adobe Arabic" w:cs="Adobe Arabic"/>
                            <w:color w:val="000000"/>
                            <w:sz w:val="20"/>
                            <w:szCs w:val="20"/>
                          </w:rPr>
                          <w:t>1</w:t>
                        </w:r>
                      </w:p>
                    </w:txbxContent>
                  </v:textbox>
                </v:shape>
                <v:shapetype id="_x0000_t32" coordsize="21600,21600" o:spt="32" o:oned="t" path="m,l21600,21600e" filled="f">
                  <v:path arrowok="t" fillok="f" o:connecttype="none"/>
                  <o:lock v:ext="edit" shapetype="t"/>
                </v:shapetype>
                <v:shape id="Straight Arrow Connector 1" o:spid="_x0000_s1030" type="#_x0000_t32" style="position:absolute;left:11381;top:4669;width:10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Bc08EAAADaAAAADwAAAGRycy9kb3ducmV2LnhtbERPS4vCMBC+L+x/CCN4EU3VVZdqFBHE&#10;58XHgsehGduyzaQ0Ueu/3wjCnoaP7zmTWW0KcafK5ZYVdDsRCOLE6pxTBefTsv0NwnlkjYVlUvAk&#10;B7Pp58cEY20ffKD70acihLCLUUHmfRlL6ZKMDLqOLYkDd7WVQR9glUpd4SOEm0L2omgoDeYcGjIs&#10;aZFR8nu8GQWL/mj709p8rYa4Z7/j3noz2F6Uajbq+RiEp9r/i9/utQ7z4fXK68rp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0FzTwQAAANoAAAAPAAAAAAAAAAAAAAAA&#10;AKECAABkcnMvZG93bnJldi54bWxQSwUGAAAAAAQABAD5AAAAjwMAAAAA&#10;" strokecolor="#4579b8 [3044]">
                  <v:stroke endarrow="block"/>
                </v:shape>
              </v:group>
            </w:pict>
          </mc:Fallback>
        </mc:AlternateContent>
      </w:r>
    </w:p>
    <w:p w:rsidR="002A559D" w:rsidRDefault="002A559D" w:rsidP="003E07C1">
      <w:pPr>
        <w:spacing w:line="360" w:lineRule="auto"/>
        <w:rPr>
          <w:sz w:val="24"/>
          <w:szCs w:val="24"/>
          <w:lang w:val="id-ID"/>
        </w:rPr>
      </w:pPr>
    </w:p>
    <w:p w:rsidR="003E07C1" w:rsidRDefault="003E07C1" w:rsidP="003E07C1">
      <w:pPr>
        <w:spacing w:line="360" w:lineRule="auto"/>
        <w:rPr>
          <w:sz w:val="24"/>
          <w:szCs w:val="24"/>
          <w:lang w:val="id-ID"/>
        </w:rPr>
      </w:pPr>
    </w:p>
    <w:p w:rsidR="003E07C1" w:rsidRDefault="003E07C1" w:rsidP="003E07C1">
      <w:pPr>
        <w:spacing w:line="360" w:lineRule="auto"/>
        <w:ind w:left="397"/>
        <w:jc w:val="center"/>
        <w:rPr>
          <w:sz w:val="24"/>
          <w:szCs w:val="24"/>
          <w:lang w:val="id-ID"/>
        </w:rPr>
      </w:pPr>
    </w:p>
    <w:p w:rsidR="003E07C1" w:rsidRDefault="003E07C1" w:rsidP="003E07C1">
      <w:pPr>
        <w:spacing w:line="360" w:lineRule="auto"/>
        <w:ind w:left="397"/>
        <w:jc w:val="center"/>
        <w:rPr>
          <w:sz w:val="24"/>
          <w:szCs w:val="24"/>
          <w:lang w:val="id-ID"/>
        </w:rPr>
      </w:pPr>
    </w:p>
    <w:p w:rsidR="003E07C1" w:rsidRPr="006D55BB" w:rsidRDefault="003E07C1" w:rsidP="003E07C1">
      <w:pPr>
        <w:spacing w:line="360" w:lineRule="auto"/>
        <w:ind w:left="397"/>
        <w:jc w:val="center"/>
        <w:rPr>
          <w:b/>
          <w:sz w:val="24"/>
          <w:szCs w:val="24"/>
          <w:lang w:val="id-ID"/>
        </w:rPr>
      </w:pPr>
      <w:r w:rsidRPr="006D55BB">
        <w:rPr>
          <w:b/>
          <w:sz w:val="24"/>
          <w:szCs w:val="24"/>
          <w:lang w:val="id-ID"/>
        </w:rPr>
        <w:t>Gambar 1. Kerangka pikir penelitian</w:t>
      </w:r>
    </w:p>
    <w:p w:rsidR="00E61B98" w:rsidRPr="00387A07" w:rsidRDefault="00E61B98" w:rsidP="006D55BB">
      <w:pPr>
        <w:pStyle w:val="Heading1"/>
        <w:numPr>
          <w:ilvl w:val="0"/>
          <w:numId w:val="0"/>
        </w:numPr>
        <w:spacing w:before="0" w:after="0" w:line="360" w:lineRule="auto"/>
        <w:ind w:left="720" w:hanging="720"/>
        <w:rPr>
          <w:rFonts w:ascii="Times New Roman" w:hAnsi="Times New Roman" w:cs="Times New Roman"/>
          <w:sz w:val="24"/>
          <w:szCs w:val="24"/>
        </w:rPr>
      </w:pPr>
      <w:r>
        <w:rPr>
          <w:rFonts w:ascii="Times New Roman" w:hAnsi="Times New Roman" w:cs="Times New Roman"/>
          <w:sz w:val="24"/>
          <w:szCs w:val="24"/>
        </w:rPr>
        <w:t>METODE PENELITIAN</w:t>
      </w:r>
      <w:r w:rsidRPr="00387A07">
        <w:rPr>
          <w:rFonts w:ascii="Times New Roman" w:hAnsi="Times New Roman" w:cs="Times New Roman"/>
          <w:sz w:val="24"/>
          <w:szCs w:val="24"/>
        </w:rPr>
        <w:t xml:space="preserve"> </w:t>
      </w:r>
    </w:p>
    <w:p w:rsidR="009F5766" w:rsidRDefault="009F5766" w:rsidP="00167FC4">
      <w:pPr>
        <w:spacing w:line="360" w:lineRule="auto"/>
        <w:ind w:firstLine="720"/>
      </w:pPr>
    </w:p>
    <w:p w:rsidR="00FC5614" w:rsidRPr="00427AEC" w:rsidRDefault="00FC5614" w:rsidP="00167FC4">
      <w:pPr>
        <w:pStyle w:val="ListParagraph1"/>
        <w:spacing w:after="0" w:line="360" w:lineRule="auto"/>
        <w:ind w:left="0"/>
        <w:jc w:val="both"/>
        <w:rPr>
          <w:rFonts w:ascii="Times New Roman" w:hAnsi="Times New Roman"/>
          <w:szCs w:val="22"/>
        </w:rPr>
      </w:pPr>
      <w:r w:rsidRPr="00427AEC">
        <w:rPr>
          <w:rFonts w:ascii="Times New Roman" w:hAnsi="Times New Roman"/>
          <w:szCs w:val="22"/>
        </w:rPr>
        <w:t>Populasi</w:t>
      </w:r>
      <w:r w:rsidR="009F5766" w:rsidRPr="00427AEC">
        <w:rPr>
          <w:rFonts w:ascii="Times New Roman" w:hAnsi="Times New Roman"/>
          <w:szCs w:val="22"/>
        </w:rPr>
        <w:t xml:space="preserve"> </w:t>
      </w:r>
      <w:r w:rsidRPr="00427AEC">
        <w:rPr>
          <w:rFonts w:ascii="Times New Roman" w:hAnsi="Times New Roman"/>
          <w:szCs w:val="22"/>
        </w:rPr>
        <w:t xml:space="preserve">dari studi ini adalah </w:t>
      </w:r>
      <w:r w:rsidR="009F5766" w:rsidRPr="00427AEC">
        <w:rPr>
          <w:rFonts w:ascii="Times New Roman" w:hAnsi="Times New Roman"/>
          <w:szCs w:val="22"/>
        </w:rPr>
        <w:t>individu</w:t>
      </w:r>
      <w:r w:rsidRPr="00427AEC">
        <w:rPr>
          <w:rFonts w:ascii="Times New Roman" w:hAnsi="Times New Roman"/>
          <w:szCs w:val="22"/>
        </w:rPr>
        <w:t xml:space="preserve"> bekerja dan memiliki pendapatan guna memberikan </w:t>
      </w:r>
      <w:r w:rsidR="009F5766" w:rsidRPr="00427AEC">
        <w:rPr>
          <w:rFonts w:ascii="Times New Roman" w:hAnsi="Times New Roman"/>
          <w:szCs w:val="22"/>
        </w:rPr>
        <w:t>justifikasi bahwa individu tersebut memiliki independensi dalam mengalokasikan pendapatan</w:t>
      </w:r>
      <w:r w:rsidRPr="00427AEC">
        <w:rPr>
          <w:rFonts w:ascii="Times New Roman" w:hAnsi="Times New Roman"/>
          <w:szCs w:val="22"/>
        </w:rPr>
        <w:t>nya</w:t>
      </w:r>
      <w:r w:rsidR="009F5766" w:rsidRPr="00427AEC">
        <w:rPr>
          <w:rFonts w:ascii="Times New Roman" w:hAnsi="Times New Roman"/>
          <w:szCs w:val="22"/>
        </w:rPr>
        <w:t xml:space="preserve">. Selanjutnya, sampel dipilih dengan menggunakan teknik </w:t>
      </w:r>
      <w:r w:rsidR="009F5766" w:rsidRPr="00427AEC">
        <w:rPr>
          <w:rFonts w:ascii="Times New Roman" w:hAnsi="Times New Roman"/>
          <w:i/>
          <w:iCs/>
          <w:szCs w:val="22"/>
        </w:rPr>
        <w:t xml:space="preserve">nonprobability sampling </w:t>
      </w:r>
      <w:r w:rsidR="009F5766" w:rsidRPr="00427AEC">
        <w:rPr>
          <w:rFonts w:ascii="Times New Roman" w:hAnsi="Times New Roman"/>
          <w:szCs w:val="22"/>
        </w:rPr>
        <w:t xml:space="preserve">dengan metode </w:t>
      </w:r>
      <w:r w:rsidR="009F5766" w:rsidRPr="00427AEC">
        <w:rPr>
          <w:rFonts w:ascii="Times New Roman" w:hAnsi="Times New Roman"/>
          <w:i/>
          <w:iCs/>
          <w:szCs w:val="22"/>
        </w:rPr>
        <w:t xml:space="preserve">purposive sampling. </w:t>
      </w:r>
      <w:r w:rsidR="009F5766" w:rsidRPr="00427AEC">
        <w:rPr>
          <w:rFonts w:ascii="Times New Roman" w:hAnsi="Times New Roman"/>
          <w:szCs w:val="22"/>
        </w:rPr>
        <w:t>Responden akhir adalah mahasiswa Magister Manajemen Kelas</w:t>
      </w:r>
      <w:r w:rsidRPr="00427AEC">
        <w:rPr>
          <w:rFonts w:ascii="Times New Roman" w:hAnsi="Times New Roman"/>
          <w:szCs w:val="22"/>
        </w:rPr>
        <w:t xml:space="preserve"> Eksekutif di</w:t>
      </w:r>
      <w:r w:rsidR="009F5766" w:rsidRPr="00427AEC">
        <w:rPr>
          <w:rFonts w:ascii="Times New Roman" w:hAnsi="Times New Roman"/>
          <w:szCs w:val="22"/>
        </w:rPr>
        <w:t xml:space="preserve"> Jakarta Fakultas Ekonomika dan Bisnis Uni</w:t>
      </w:r>
      <w:r w:rsidRPr="00427AEC">
        <w:rPr>
          <w:rFonts w:ascii="Times New Roman" w:hAnsi="Times New Roman"/>
          <w:szCs w:val="22"/>
        </w:rPr>
        <w:t>versitas Gadjah Mada Yogyakarta  yang berada pada kelas matrikulasi, semester pertama dan kedua u</w:t>
      </w:r>
      <w:r w:rsidR="009F5766" w:rsidRPr="00427AEC">
        <w:rPr>
          <w:rFonts w:ascii="Times New Roman" w:hAnsi="Times New Roman"/>
          <w:szCs w:val="22"/>
        </w:rPr>
        <w:t>ntuk menghindari paparan materi</w:t>
      </w:r>
      <w:r w:rsidRPr="00427AEC">
        <w:rPr>
          <w:rFonts w:ascii="Times New Roman" w:hAnsi="Times New Roman"/>
          <w:szCs w:val="22"/>
        </w:rPr>
        <w:t xml:space="preserve"> manajemen</w:t>
      </w:r>
      <w:r w:rsidR="009F5766" w:rsidRPr="00427AEC">
        <w:rPr>
          <w:rFonts w:ascii="Times New Roman" w:hAnsi="Times New Roman"/>
          <w:szCs w:val="22"/>
        </w:rPr>
        <w:t xml:space="preserve"> keuangan lanjutan yang diajarkan dalam mata ku</w:t>
      </w:r>
      <w:r w:rsidRPr="00427AEC">
        <w:rPr>
          <w:rFonts w:ascii="Times New Roman" w:hAnsi="Times New Roman"/>
          <w:szCs w:val="22"/>
        </w:rPr>
        <w:t xml:space="preserve">liah kelas konsentrasi keuangan. Pengumpulan data dilakukan dengan membagikan kuesioner berbasis fisik.Rincian pertanyaan </w:t>
      </w:r>
      <w:r w:rsidR="0050427D" w:rsidRPr="00427AEC">
        <w:rPr>
          <w:rFonts w:ascii="Times New Roman" w:hAnsi="Times New Roman"/>
          <w:szCs w:val="22"/>
        </w:rPr>
        <w:t xml:space="preserve">literasi keuangan terdapat pada </w:t>
      </w:r>
      <w:r w:rsidRPr="00427AEC">
        <w:rPr>
          <w:rFonts w:ascii="Times New Roman" w:hAnsi="Times New Roman"/>
          <w:szCs w:val="22"/>
        </w:rPr>
        <w:t>Tabel 2.</w:t>
      </w:r>
    </w:p>
    <w:p w:rsidR="00FC5614" w:rsidRDefault="00FC5614" w:rsidP="00FC5614">
      <w:pPr>
        <w:spacing w:line="220" w:lineRule="exact"/>
        <w:jc w:val="center"/>
        <w:rPr>
          <w:b/>
          <w:position w:val="-1"/>
          <w:sz w:val="24"/>
        </w:rPr>
      </w:pPr>
      <w:r w:rsidRPr="00AE45A9">
        <w:rPr>
          <w:b/>
          <w:position w:val="-1"/>
          <w:sz w:val="24"/>
        </w:rPr>
        <w:t>T</w:t>
      </w:r>
      <w:r w:rsidRPr="00AE45A9">
        <w:rPr>
          <w:b/>
          <w:spacing w:val="1"/>
          <w:position w:val="-1"/>
          <w:sz w:val="24"/>
        </w:rPr>
        <w:t>a</w:t>
      </w:r>
      <w:r w:rsidRPr="00AE45A9">
        <w:rPr>
          <w:b/>
          <w:position w:val="-1"/>
          <w:sz w:val="24"/>
        </w:rPr>
        <w:t>bel</w:t>
      </w:r>
      <w:r w:rsidRPr="00AE45A9">
        <w:rPr>
          <w:b/>
          <w:spacing w:val="-1"/>
          <w:position w:val="-1"/>
          <w:sz w:val="24"/>
        </w:rPr>
        <w:t xml:space="preserve"> </w:t>
      </w:r>
      <w:r>
        <w:rPr>
          <w:b/>
          <w:spacing w:val="-1"/>
          <w:position w:val="-1"/>
          <w:sz w:val="24"/>
        </w:rPr>
        <w:t>2</w:t>
      </w:r>
      <w:r w:rsidRPr="00AE45A9">
        <w:rPr>
          <w:b/>
          <w:spacing w:val="-1"/>
          <w:position w:val="-1"/>
          <w:sz w:val="24"/>
        </w:rPr>
        <w:t xml:space="preserve">. </w:t>
      </w:r>
      <w:r>
        <w:rPr>
          <w:b/>
          <w:position w:val="-1"/>
          <w:sz w:val="24"/>
        </w:rPr>
        <w:t>Pertanyaan Literasi keuangan</w:t>
      </w:r>
    </w:p>
    <w:p w:rsidR="00FA4C33" w:rsidRPr="00AE45A9" w:rsidRDefault="00FA4C33" w:rsidP="00FC5614">
      <w:pPr>
        <w:spacing w:line="220" w:lineRule="exact"/>
        <w:jc w:val="center"/>
        <w:rPr>
          <w:sz w:val="24"/>
        </w:rPr>
      </w:pPr>
    </w:p>
    <w:tbl>
      <w:tblPr>
        <w:tblStyle w:val="TableGrid"/>
        <w:tblW w:w="9350" w:type="dxa"/>
        <w:tblInd w:w="-426" w:type="dxa"/>
        <w:tblBorders>
          <w:top w:val="single" w:sz="4"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5807"/>
        <w:gridCol w:w="3543"/>
      </w:tblGrid>
      <w:tr w:rsidR="00FC5614" w:rsidRPr="00FC5614" w:rsidTr="00137686">
        <w:trPr>
          <w:trHeight w:val="1441"/>
        </w:trPr>
        <w:tc>
          <w:tcPr>
            <w:tcW w:w="5807" w:type="dxa"/>
            <w:tcBorders>
              <w:top w:val="single" w:sz="4" w:space="0" w:color="auto"/>
              <w:left w:val="nil"/>
              <w:bottom w:val="nil"/>
              <w:right w:val="nil"/>
            </w:tcBorders>
            <w:hideMark/>
          </w:tcPr>
          <w:p w:rsidR="00FC5614" w:rsidRPr="00FC5614" w:rsidRDefault="00FC5614" w:rsidP="00FC5614">
            <w:pPr>
              <w:numPr>
                <w:ilvl w:val="0"/>
                <w:numId w:val="14"/>
              </w:numPr>
              <w:spacing w:before="100" w:beforeAutospacing="1" w:after="160" w:line="360" w:lineRule="auto"/>
              <w:ind w:left="315" w:hanging="315"/>
              <w:contextualSpacing/>
              <w:jc w:val="both"/>
            </w:pPr>
            <w:r w:rsidRPr="00FC5614">
              <w:t>Jika Anda memiliki tabungan senilai Rp 1.000.000 dengan tingkat suku bunga simpanan sebesar 2% per tahun maka berapa jumlah tabungan Anda pada tahun kelima?</w:t>
            </w:r>
          </w:p>
        </w:tc>
        <w:tc>
          <w:tcPr>
            <w:tcW w:w="3543" w:type="dxa"/>
            <w:tcBorders>
              <w:top w:val="single" w:sz="4" w:space="0" w:color="auto"/>
              <w:left w:val="nil"/>
              <w:bottom w:val="nil"/>
              <w:right w:val="nil"/>
            </w:tcBorders>
            <w:hideMark/>
          </w:tcPr>
          <w:p w:rsidR="00FC5614" w:rsidRPr="00FC5614"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C5614">
              <w:rPr>
                <w:rFonts w:ascii="Times New Roman" w:hAnsi="Times New Roman"/>
                <w:sz w:val="20"/>
                <w:szCs w:val="20"/>
              </w:rPr>
              <w:t>Lebih dari Rp 1.020.000</w:t>
            </w:r>
          </w:p>
          <w:p w:rsidR="00FC5614" w:rsidRPr="00FC5614"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C5614">
              <w:rPr>
                <w:rFonts w:ascii="Times New Roman" w:hAnsi="Times New Roman"/>
                <w:sz w:val="20"/>
                <w:szCs w:val="20"/>
              </w:rPr>
              <w:t>Tepat Rp 1.000.020</w:t>
            </w:r>
          </w:p>
          <w:p w:rsidR="00FC5614" w:rsidRPr="00FC5614"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C5614">
              <w:rPr>
                <w:rFonts w:ascii="Times New Roman" w:hAnsi="Times New Roman"/>
                <w:sz w:val="20"/>
                <w:szCs w:val="20"/>
              </w:rPr>
              <w:t>Kurang dari Rp 1.020.000</w:t>
            </w:r>
          </w:p>
          <w:p w:rsidR="00FC5614" w:rsidRPr="00FC5614"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C5614">
              <w:rPr>
                <w:rFonts w:ascii="Times New Roman" w:hAnsi="Times New Roman"/>
                <w:sz w:val="20"/>
                <w:szCs w:val="20"/>
              </w:rPr>
              <w:t>Tidak tahu</w:t>
            </w:r>
          </w:p>
          <w:p w:rsidR="00FC5614" w:rsidRPr="00FC5614"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C5614">
              <w:rPr>
                <w:rFonts w:ascii="Times New Roman" w:hAnsi="Times New Roman"/>
                <w:sz w:val="20"/>
                <w:szCs w:val="20"/>
              </w:rPr>
              <w:t>Lebih memilih tidak menjawab</w:t>
            </w:r>
          </w:p>
        </w:tc>
      </w:tr>
      <w:tr w:rsidR="00FC5614" w:rsidRPr="00FC5614" w:rsidTr="00137686">
        <w:tc>
          <w:tcPr>
            <w:tcW w:w="5807" w:type="dxa"/>
            <w:tcBorders>
              <w:top w:val="nil"/>
              <w:left w:val="nil"/>
              <w:bottom w:val="nil"/>
              <w:right w:val="nil"/>
            </w:tcBorders>
            <w:hideMark/>
          </w:tcPr>
          <w:p w:rsidR="00FC5614" w:rsidRPr="00FC5614" w:rsidRDefault="00FC5614" w:rsidP="00FC5614">
            <w:pPr>
              <w:numPr>
                <w:ilvl w:val="0"/>
                <w:numId w:val="14"/>
              </w:numPr>
              <w:spacing w:before="100" w:beforeAutospacing="1" w:after="160" w:line="360" w:lineRule="auto"/>
              <w:ind w:left="315" w:hanging="315"/>
              <w:contextualSpacing/>
              <w:jc w:val="both"/>
            </w:pPr>
            <w:r w:rsidRPr="00FC5614">
              <w:t>Andaikan tingkat suku bunga simpanan pada tabungan Anda adalah 1% per tahun dan inflasi sebesar 2% per tahun maka berapa nilai uang yang Anda miliki setelah satu tahun?</w:t>
            </w:r>
          </w:p>
        </w:tc>
        <w:tc>
          <w:tcPr>
            <w:tcW w:w="3543" w:type="dxa"/>
            <w:tcBorders>
              <w:top w:val="nil"/>
              <w:left w:val="nil"/>
              <w:bottom w:val="nil"/>
              <w:right w:val="nil"/>
            </w:tcBorders>
            <w:hideMark/>
          </w:tcPr>
          <w:p w:rsidR="00FC5614" w:rsidRPr="00FC5614" w:rsidRDefault="00FC5614" w:rsidP="00FC5614">
            <w:pPr>
              <w:numPr>
                <w:ilvl w:val="0"/>
                <w:numId w:val="15"/>
              </w:numPr>
              <w:spacing w:before="100" w:beforeAutospacing="1" w:after="160" w:line="360" w:lineRule="auto"/>
              <w:ind w:left="179" w:hanging="142"/>
              <w:contextualSpacing/>
              <w:jc w:val="both"/>
            </w:pPr>
            <w:r w:rsidRPr="00FC5614">
              <w:t>Lebih dari hari ini</w:t>
            </w:r>
          </w:p>
          <w:p w:rsidR="00FC5614" w:rsidRPr="00FC5614" w:rsidRDefault="00FC5614" w:rsidP="00FC5614">
            <w:pPr>
              <w:numPr>
                <w:ilvl w:val="0"/>
                <w:numId w:val="15"/>
              </w:numPr>
              <w:spacing w:before="100" w:beforeAutospacing="1" w:after="160" w:line="360" w:lineRule="auto"/>
              <w:ind w:left="179" w:hanging="142"/>
              <w:contextualSpacing/>
              <w:jc w:val="both"/>
            </w:pPr>
            <w:r w:rsidRPr="00FC5614">
              <w:t>Tepat sama dengan hari ini</w:t>
            </w:r>
          </w:p>
          <w:p w:rsidR="00FC5614" w:rsidRPr="00FC5614" w:rsidRDefault="00FC5614" w:rsidP="00FC5614">
            <w:pPr>
              <w:numPr>
                <w:ilvl w:val="0"/>
                <w:numId w:val="15"/>
              </w:numPr>
              <w:spacing w:before="100" w:beforeAutospacing="1" w:after="160" w:line="360" w:lineRule="auto"/>
              <w:ind w:left="179" w:hanging="142"/>
              <w:contextualSpacing/>
              <w:jc w:val="both"/>
            </w:pPr>
            <w:r w:rsidRPr="00FC5614">
              <w:t>Kurang dari hari ini</w:t>
            </w:r>
          </w:p>
          <w:p w:rsidR="00FC5614" w:rsidRPr="00FC5614" w:rsidRDefault="00FC5614" w:rsidP="00FC5614">
            <w:pPr>
              <w:numPr>
                <w:ilvl w:val="0"/>
                <w:numId w:val="15"/>
              </w:numPr>
              <w:spacing w:before="100" w:beforeAutospacing="1" w:after="160" w:line="360" w:lineRule="auto"/>
              <w:ind w:left="179" w:hanging="142"/>
              <w:contextualSpacing/>
              <w:jc w:val="both"/>
            </w:pPr>
            <w:r w:rsidRPr="00FC5614">
              <w:lastRenderedPageBreak/>
              <w:t>Tidak tahu</w:t>
            </w:r>
          </w:p>
          <w:p w:rsidR="00FC5614" w:rsidRPr="00FC5614" w:rsidRDefault="00FC5614" w:rsidP="00FC5614">
            <w:pPr>
              <w:numPr>
                <w:ilvl w:val="0"/>
                <w:numId w:val="15"/>
              </w:numPr>
              <w:spacing w:before="100" w:beforeAutospacing="1" w:after="160" w:line="360" w:lineRule="auto"/>
              <w:ind w:left="179" w:hanging="142"/>
              <w:contextualSpacing/>
              <w:jc w:val="both"/>
            </w:pPr>
            <w:r w:rsidRPr="00FC5614">
              <w:t>Lebih memilih tidak menjawab</w:t>
            </w:r>
          </w:p>
        </w:tc>
      </w:tr>
      <w:tr w:rsidR="00FC5614" w:rsidRPr="00FC5614" w:rsidTr="00137686">
        <w:tc>
          <w:tcPr>
            <w:tcW w:w="5807" w:type="dxa"/>
            <w:tcBorders>
              <w:top w:val="nil"/>
              <w:left w:val="nil"/>
              <w:bottom w:val="nil"/>
              <w:right w:val="nil"/>
            </w:tcBorders>
            <w:hideMark/>
          </w:tcPr>
          <w:p w:rsidR="00FC5614" w:rsidRPr="00FC5614" w:rsidRDefault="00FC5614" w:rsidP="00FC5614">
            <w:pPr>
              <w:pStyle w:val="ListParagraph1"/>
              <w:numPr>
                <w:ilvl w:val="0"/>
                <w:numId w:val="14"/>
              </w:numPr>
              <w:spacing w:before="100" w:beforeAutospacing="1" w:after="160" w:line="360" w:lineRule="auto"/>
              <w:ind w:left="315" w:hanging="315"/>
              <w:jc w:val="both"/>
              <w:rPr>
                <w:rFonts w:ascii="Times New Roman" w:hAnsi="Times New Roman"/>
                <w:sz w:val="20"/>
                <w:szCs w:val="20"/>
              </w:rPr>
            </w:pPr>
            <w:r w:rsidRPr="00FC5614">
              <w:rPr>
                <w:rFonts w:ascii="Times New Roman" w:hAnsi="Times New Roman"/>
                <w:sz w:val="20"/>
                <w:szCs w:val="20"/>
              </w:rPr>
              <w:lastRenderedPageBreak/>
              <w:t xml:space="preserve">Membeli saham dari satu perusahaan biasanya memberikan keamanan atas imbal hasil dibandingkan reksadana saham (reksadana saham: wadah dan pola pengelolaan dana/modal yang terdiri dari berbagai saham perusahaan). Benarkah pernyataan tersebut? </w:t>
            </w:r>
          </w:p>
        </w:tc>
        <w:tc>
          <w:tcPr>
            <w:tcW w:w="3543" w:type="dxa"/>
            <w:tcBorders>
              <w:top w:val="nil"/>
              <w:left w:val="nil"/>
              <w:bottom w:val="nil"/>
              <w:right w:val="nil"/>
            </w:tcBorders>
            <w:hideMark/>
          </w:tcPr>
          <w:p w:rsidR="00FC5614" w:rsidRPr="00FC5614"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C5614">
              <w:rPr>
                <w:rFonts w:ascii="Times New Roman" w:hAnsi="Times New Roman"/>
                <w:sz w:val="20"/>
                <w:szCs w:val="20"/>
              </w:rPr>
              <w:t>Benar</w:t>
            </w:r>
          </w:p>
          <w:p w:rsidR="00FC5614" w:rsidRPr="00FC5614"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C5614">
              <w:rPr>
                <w:rFonts w:ascii="Times New Roman" w:hAnsi="Times New Roman"/>
                <w:sz w:val="20"/>
                <w:szCs w:val="20"/>
              </w:rPr>
              <w:t>Salah</w:t>
            </w:r>
          </w:p>
          <w:p w:rsidR="00FC5614" w:rsidRPr="00FC5614"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C5614">
              <w:rPr>
                <w:rFonts w:ascii="Times New Roman" w:hAnsi="Times New Roman"/>
                <w:sz w:val="20"/>
                <w:szCs w:val="20"/>
              </w:rPr>
              <w:t>Tidak tahu</w:t>
            </w:r>
          </w:p>
          <w:p w:rsidR="00FC5614" w:rsidRPr="00FC5614"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C5614">
              <w:rPr>
                <w:rFonts w:ascii="Times New Roman" w:hAnsi="Times New Roman"/>
                <w:sz w:val="20"/>
                <w:szCs w:val="20"/>
              </w:rPr>
              <w:t>Lebih memilih tidak menjawab</w:t>
            </w:r>
          </w:p>
        </w:tc>
      </w:tr>
      <w:tr w:rsidR="00FC5614" w:rsidRPr="00FA4C33" w:rsidTr="00137686">
        <w:tc>
          <w:tcPr>
            <w:tcW w:w="5807" w:type="dxa"/>
            <w:tcBorders>
              <w:top w:val="nil"/>
              <w:left w:val="nil"/>
              <w:bottom w:val="nil"/>
              <w:right w:val="nil"/>
            </w:tcBorders>
            <w:hideMark/>
          </w:tcPr>
          <w:p w:rsidR="00FC5614" w:rsidRPr="00FA4C33" w:rsidRDefault="00FC5614" w:rsidP="00FC5614">
            <w:pPr>
              <w:pStyle w:val="ListParagraph1"/>
              <w:numPr>
                <w:ilvl w:val="0"/>
                <w:numId w:val="14"/>
              </w:numPr>
              <w:spacing w:before="100" w:beforeAutospacing="1" w:after="160" w:line="360" w:lineRule="auto"/>
              <w:ind w:left="315" w:hanging="315"/>
              <w:jc w:val="both"/>
              <w:rPr>
                <w:rFonts w:ascii="Times New Roman" w:hAnsi="Times New Roman"/>
                <w:sz w:val="20"/>
                <w:szCs w:val="20"/>
              </w:rPr>
            </w:pPr>
            <w:r w:rsidRPr="00FA4C33">
              <w:rPr>
                <w:rFonts w:ascii="Times New Roman" w:hAnsi="Times New Roman"/>
                <w:sz w:val="20"/>
                <w:szCs w:val="20"/>
              </w:rPr>
              <w:t>Sebuah pembiayaan perumahan dengan jangka waktu 15 tahun membutuhkan pembayaran bulanan yang lebih besar daripada pembiayaan perumahan dengan jangka waktu 30 tahun, namun jumlah total bunga yang dibayar selama rentang waktu tersebut akan lebih sedikit. Benarkah pernyataan tersebut?</w:t>
            </w:r>
          </w:p>
        </w:tc>
        <w:tc>
          <w:tcPr>
            <w:tcW w:w="3543" w:type="dxa"/>
            <w:tcBorders>
              <w:top w:val="nil"/>
              <w:left w:val="nil"/>
              <w:bottom w:val="nil"/>
              <w:right w:val="nil"/>
            </w:tcBorders>
            <w:hideMark/>
          </w:tcPr>
          <w:p w:rsidR="00FC5614" w:rsidRPr="00FA4C33" w:rsidRDefault="00FC5614" w:rsidP="00FC5614">
            <w:pPr>
              <w:numPr>
                <w:ilvl w:val="0"/>
                <w:numId w:val="15"/>
              </w:numPr>
              <w:spacing w:before="100" w:beforeAutospacing="1" w:after="160" w:line="360" w:lineRule="auto"/>
              <w:ind w:left="179" w:hanging="142"/>
              <w:contextualSpacing/>
              <w:jc w:val="both"/>
            </w:pPr>
            <w:r w:rsidRPr="00FA4C33">
              <w:t>Benar</w:t>
            </w:r>
          </w:p>
          <w:p w:rsidR="00FC5614" w:rsidRPr="00FA4C33" w:rsidRDefault="00FC5614" w:rsidP="00FC5614">
            <w:pPr>
              <w:numPr>
                <w:ilvl w:val="0"/>
                <w:numId w:val="15"/>
              </w:numPr>
              <w:spacing w:before="100" w:beforeAutospacing="1" w:after="160" w:line="360" w:lineRule="auto"/>
              <w:ind w:left="179" w:hanging="142"/>
              <w:contextualSpacing/>
              <w:jc w:val="both"/>
            </w:pPr>
            <w:r w:rsidRPr="00FA4C33">
              <w:t>Salah</w:t>
            </w:r>
          </w:p>
          <w:p w:rsidR="00FC5614" w:rsidRPr="00FA4C33" w:rsidRDefault="00FC5614" w:rsidP="00FC5614">
            <w:pPr>
              <w:numPr>
                <w:ilvl w:val="0"/>
                <w:numId w:val="15"/>
              </w:numPr>
              <w:spacing w:before="100" w:beforeAutospacing="1" w:after="160" w:line="360" w:lineRule="auto"/>
              <w:ind w:left="179" w:hanging="142"/>
              <w:contextualSpacing/>
              <w:jc w:val="both"/>
            </w:pPr>
            <w:r w:rsidRPr="00FA4C33">
              <w:t>Tidak tahu</w:t>
            </w:r>
          </w:p>
          <w:p w:rsidR="00FC5614" w:rsidRPr="00FA4C33" w:rsidRDefault="00FC5614" w:rsidP="00FC5614">
            <w:pPr>
              <w:numPr>
                <w:ilvl w:val="0"/>
                <w:numId w:val="15"/>
              </w:numPr>
              <w:spacing w:before="100" w:beforeAutospacing="1" w:after="160" w:line="360" w:lineRule="auto"/>
              <w:ind w:left="179" w:hanging="142"/>
              <w:contextualSpacing/>
              <w:jc w:val="both"/>
            </w:pPr>
            <w:r w:rsidRPr="00FA4C33">
              <w:t>Lebih memilih tidak menjawab</w:t>
            </w:r>
          </w:p>
        </w:tc>
      </w:tr>
      <w:tr w:rsidR="00FC5614" w:rsidRPr="00FA4C33" w:rsidTr="00137686">
        <w:tc>
          <w:tcPr>
            <w:tcW w:w="5807" w:type="dxa"/>
            <w:tcBorders>
              <w:top w:val="nil"/>
              <w:left w:val="nil"/>
              <w:bottom w:val="single" w:sz="4" w:space="0" w:color="auto"/>
              <w:right w:val="nil"/>
            </w:tcBorders>
            <w:hideMark/>
          </w:tcPr>
          <w:p w:rsidR="00FC5614" w:rsidRPr="00FA4C33" w:rsidRDefault="00FC5614" w:rsidP="00FC5614">
            <w:pPr>
              <w:pStyle w:val="ListParagraph1"/>
              <w:numPr>
                <w:ilvl w:val="0"/>
                <w:numId w:val="14"/>
              </w:numPr>
              <w:spacing w:before="100" w:beforeAutospacing="1" w:after="160" w:line="360" w:lineRule="auto"/>
              <w:ind w:left="315" w:hanging="315"/>
              <w:jc w:val="both"/>
              <w:rPr>
                <w:rFonts w:ascii="Times New Roman" w:hAnsi="Times New Roman"/>
                <w:sz w:val="20"/>
                <w:szCs w:val="20"/>
              </w:rPr>
            </w:pPr>
            <w:r w:rsidRPr="00FA4C33">
              <w:rPr>
                <w:rFonts w:ascii="Times New Roman" w:hAnsi="Times New Roman"/>
                <w:sz w:val="20"/>
                <w:szCs w:val="20"/>
              </w:rPr>
              <w:t>Jika tingkat suku bunga turun maka apa yang akan terjadi pada harga obligasi dengan kupon bunga tetap? Mohon pilih salah satu jawaban yang Anda anggap benar.</w:t>
            </w:r>
          </w:p>
        </w:tc>
        <w:tc>
          <w:tcPr>
            <w:tcW w:w="3543" w:type="dxa"/>
            <w:tcBorders>
              <w:top w:val="nil"/>
              <w:left w:val="nil"/>
              <w:bottom w:val="single" w:sz="4" w:space="0" w:color="auto"/>
              <w:right w:val="nil"/>
            </w:tcBorders>
            <w:hideMark/>
          </w:tcPr>
          <w:p w:rsidR="00FC5614" w:rsidRPr="00FA4C33"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A4C33">
              <w:rPr>
                <w:rFonts w:ascii="Times New Roman" w:hAnsi="Times New Roman"/>
                <w:sz w:val="20"/>
                <w:szCs w:val="20"/>
              </w:rPr>
              <w:t>Harganya akan naik</w:t>
            </w:r>
          </w:p>
          <w:p w:rsidR="00FA4C33" w:rsidRDefault="00FC5614" w:rsidP="00FA4C33">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A4C33">
              <w:rPr>
                <w:rFonts w:ascii="Times New Roman" w:hAnsi="Times New Roman"/>
                <w:sz w:val="20"/>
                <w:szCs w:val="20"/>
              </w:rPr>
              <w:t>Harganya akan turun</w:t>
            </w:r>
          </w:p>
          <w:p w:rsidR="00FC5614" w:rsidRPr="00FA4C33" w:rsidRDefault="00FC5614" w:rsidP="00FA4C33">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A4C33">
              <w:rPr>
                <w:rFonts w:ascii="Times New Roman" w:hAnsi="Times New Roman"/>
                <w:sz w:val="20"/>
                <w:szCs w:val="20"/>
              </w:rPr>
              <w:t>Tidak ada hubungan antara harga obligasi dan tingkat suku bunga</w:t>
            </w:r>
          </w:p>
          <w:p w:rsidR="00FC5614" w:rsidRPr="00FA4C33"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A4C33">
              <w:rPr>
                <w:rFonts w:ascii="Times New Roman" w:hAnsi="Times New Roman"/>
                <w:sz w:val="20"/>
                <w:szCs w:val="20"/>
              </w:rPr>
              <w:t>Tidak tahu</w:t>
            </w:r>
          </w:p>
          <w:p w:rsidR="00FC5614" w:rsidRPr="00FA4C33" w:rsidRDefault="00FC5614" w:rsidP="00FC5614">
            <w:pPr>
              <w:pStyle w:val="ListParagraph1"/>
              <w:numPr>
                <w:ilvl w:val="0"/>
                <w:numId w:val="15"/>
              </w:numPr>
              <w:spacing w:before="100" w:beforeAutospacing="1" w:after="160" w:line="360" w:lineRule="auto"/>
              <w:ind w:left="179" w:hanging="142"/>
              <w:jc w:val="both"/>
              <w:rPr>
                <w:rFonts w:ascii="Times New Roman" w:hAnsi="Times New Roman"/>
                <w:sz w:val="20"/>
                <w:szCs w:val="20"/>
              </w:rPr>
            </w:pPr>
            <w:r w:rsidRPr="00FA4C33">
              <w:rPr>
                <w:rFonts w:ascii="Times New Roman" w:hAnsi="Times New Roman"/>
                <w:sz w:val="20"/>
                <w:szCs w:val="20"/>
              </w:rPr>
              <w:t>Lebih memilih tidak menjawab</w:t>
            </w:r>
          </w:p>
        </w:tc>
      </w:tr>
    </w:tbl>
    <w:p w:rsidR="00FC5614" w:rsidRPr="00FA4C33" w:rsidRDefault="00FC5614" w:rsidP="009F5766">
      <w:pPr>
        <w:pStyle w:val="ListParagraph1"/>
        <w:spacing w:after="0" w:line="360" w:lineRule="auto"/>
        <w:ind w:left="0"/>
        <w:jc w:val="both"/>
        <w:rPr>
          <w:rFonts w:ascii="Times New Roman" w:hAnsi="Times New Roman"/>
          <w:sz w:val="22"/>
          <w:szCs w:val="22"/>
        </w:rPr>
      </w:pPr>
    </w:p>
    <w:p w:rsidR="0050427D" w:rsidRPr="00FA4C33" w:rsidRDefault="0050427D" w:rsidP="00167FC4">
      <w:pPr>
        <w:pStyle w:val="ListParagraph1"/>
        <w:spacing w:after="0" w:line="360" w:lineRule="auto"/>
        <w:ind w:left="0" w:firstLine="720"/>
        <w:jc w:val="both"/>
        <w:rPr>
          <w:rFonts w:ascii="Times New Roman" w:hAnsi="Times New Roman"/>
          <w:szCs w:val="22"/>
        </w:rPr>
      </w:pPr>
      <w:r w:rsidRPr="00FA4C33">
        <w:rPr>
          <w:rFonts w:ascii="Times New Roman" w:hAnsi="Times New Roman"/>
          <w:szCs w:val="22"/>
        </w:rPr>
        <w:t xml:space="preserve">Literasi keuangan bernilai nol apabila tidak ada jawaban benar hingga lima bila tidak ada jawaban salah. </w:t>
      </w:r>
      <w:r w:rsidR="00FA4C33">
        <w:rPr>
          <w:rFonts w:ascii="Times New Roman" w:hAnsi="Times New Roman"/>
          <w:szCs w:val="22"/>
        </w:rPr>
        <w:t>S</w:t>
      </w:r>
      <w:r w:rsidRPr="00FA4C33">
        <w:rPr>
          <w:rFonts w:ascii="Times New Roman" w:hAnsi="Times New Roman"/>
          <w:szCs w:val="22"/>
        </w:rPr>
        <w:t>edangkan variabel dependen yaitu keputusan berkonsultasi sebagai variabel dependen merupakan variabel biner bernilai satu apabila individu tersebut berkonsultasi dengan profesional, dan nol apabila tidak. Pengukuran variabel kontrol adalah sebagai berikut: pengukuran kepercayaan diri bersifat biner denga nilai satu apabila tingkat kepercayaan diri individu lebih dari nilai rata-rata kepercayaan diri seluruh responden: pengukuran gender bersifat</w:t>
      </w:r>
      <w:r w:rsidRPr="00FA4C33">
        <w:rPr>
          <w:rFonts w:ascii="Times New Roman" w:hAnsi="Times New Roman"/>
          <w:szCs w:val="22"/>
          <w:shd w:val="clear" w:color="auto" w:fill="FFFFFF"/>
        </w:rPr>
        <w:t xml:space="preserve"> biner dengan nilai satu apabila responden adalah pria, dan nol bila wanita; </w:t>
      </w:r>
      <w:r w:rsidRPr="00FA4C33">
        <w:rPr>
          <w:rFonts w:ascii="Times New Roman" w:hAnsi="Times New Roman"/>
          <w:szCs w:val="22"/>
        </w:rPr>
        <w:t>pendapatan terbagi dalam lima kategori dengan kelipatan Rp 5.000.000 dimulai dari kategori pendapatan kurang dari Rp 5.000.000; status menikah bernilai satu dan nol bila tidak; serta kategori usia terbagi dalam lima kategori dengan kelipatan usia lima tahun dimulai dari usia kurang dari 24 tahun dan seterusnya. Model ekonometrik dalam penelitian ini adalah sebagai berikut:</w:t>
      </w:r>
    </w:p>
    <w:p w:rsidR="009F5766" w:rsidRPr="00FA4C33" w:rsidRDefault="00427AEC" w:rsidP="00FA4C33">
      <w:pPr>
        <w:pStyle w:val="ListParagraph1"/>
        <w:spacing w:after="0" w:line="360" w:lineRule="auto"/>
        <w:ind w:left="1418" w:hanging="1418"/>
        <w:jc w:val="both"/>
        <w:rPr>
          <w:rFonts w:ascii="Times New Roman" w:hAnsi="Times New Roman"/>
          <w:szCs w:val="22"/>
          <w:vertAlign w:val="subscript"/>
        </w:rPr>
      </w:pPr>
      <w:r w:rsidRPr="00FA4C33">
        <w:rPr>
          <w:rFonts w:ascii="Times New Roman" w:hAnsi="Times New Roman"/>
          <w:szCs w:val="22"/>
        </w:rPr>
        <w:lastRenderedPageBreak/>
        <w:t>konsultasi</w:t>
      </w:r>
      <w:r w:rsidR="0050427D" w:rsidRPr="00FA4C33">
        <w:rPr>
          <w:rFonts w:ascii="Times New Roman" w:hAnsi="Times New Roman"/>
          <w:szCs w:val="22"/>
          <w:vertAlign w:val="subscript"/>
        </w:rPr>
        <w:t>i</w:t>
      </w:r>
      <w:r w:rsidR="0050427D" w:rsidRPr="00FA4C33">
        <w:rPr>
          <w:rFonts w:ascii="Times New Roman" w:hAnsi="Times New Roman"/>
          <w:szCs w:val="22"/>
        </w:rPr>
        <w:t xml:space="preserve"> = α + β</w:t>
      </w:r>
      <w:r w:rsidR="0050427D" w:rsidRPr="00FA4C33">
        <w:rPr>
          <w:rFonts w:ascii="Times New Roman" w:hAnsi="Times New Roman"/>
          <w:szCs w:val="22"/>
          <w:vertAlign w:val="subscript"/>
        </w:rPr>
        <w:t>1</w:t>
      </w:r>
      <w:r w:rsidR="0050427D" w:rsidRPr="00FA4C33">
        <w:rPr>
          <w:rFonts w:ascii="Times New Roman" w:hAnsi="Times New Roman"/>
          <w:szCs w:val="22"/>
        </w:rPr>
        <w:t>.literasi</w:t>
      </w:r>
      <w:r w:rsidR="0050427D" w:rsidRPr="00FA4C33">
        <w:rPr>
          <w:rFonts w:ascii="Times New Roman" w:hAnsi="Times New Roman"/>
          <w:szCs w:val="22"/>
          <w:vertAlign w:val="subscript"/>
        </w:rPr>
        <w:t>i</w:t>
      </w:r>
      <w:r w:rsidR="0050427D" w:rsidRPr="00FA4C33">
        <w:rPr>
          <w:rFonts w:ascii="Times New Roman" w:hAnsi="Times New Roman"/>
          <w:szCs w:val="22"/>
        </w:rPr>
        <w:t xml:space="preserve"> + β</w:t>
      </w:r>
      <w:r w:rsidR="0050427D" w:rsidRPr="00FA4C33">
        <w:rPr>
          <w:rFonts w:ascii="Times New Roman" w:hAnsi="Times New Roman"/>
          <w:szCs w:val="22"/>
          <w:vertAlign w:val="subscript"/>
        </w:rPr>
        <w:t>2</w:t>
      </w:r>
      <w:r w:rsidR="0050427D" w:rsidRPr="00FA4C33">
        <w:rPr>
          <w:rFonts w:ascii="Times New Roman" w:hAnsi="Times New Roman"/>
          <w:szCs w:val="22"/>
        </w:rPr>
        <w:t>.kepercayaan diri</w:t>
      </w:r>
      <w:r w:rsidR="0050427D" w:rsidRPr="00FA4C33">
        <w:rPr>
          <w:rFonts w:ascii="Times New Roman" w:hAnsi="Times New Roman"/>
          <w:szCs w:val="22"/>
          <w:vertAlign w:val="subscript"/>
        </w:rPr>
        <w:t>i</w:t>
      </w:r>
      <w:r w:rsidR="0050427D" w:rsidRPr="00FA4C33">
        <w:rPr>
          <w:rFonts w:ascii="Times New Roman" w:hAnsi="Times New Roman"/>
          <w:szCs w:val="22"/>
        </w:rPr>
        <w:t xml:space="preserve"> + β</w:t>
      </w:r>
      <w:r w:rsidR="0050427D" w:rsidRPr="00FA4C33">
        <w:rPr>
          <w:rFonts w:ascii="Times New Roman" w:hAnsi="Times New Roman"/>
          <w:szCs w:val="22"/>
          <w:vertAlign w:val="subscript"/>
        </w:rPr>
        <w:t>3</w:t>
      </w:r>
      <w:r w:rsidR="0050427D" w:rsidRPr="00FA4C33">
        <w:rPr>
          <w:rFonts w:ascii="Times New Roman" w:hAnsi="Times New Roman"/>
          <w:szCs w:val="22"/>
        </w:rPr>
        <w:t>.gender + β</w:t>
      </w:r>
      <w:r w:rsidR="0050427D" w:rsidRPr="00FA4C33">
        <w:rPr>
          <w:rFonts w:ascii="Times New Roman" w:hAnsi="Times New Roman"/>
          <w:szCs w:val="22"/>
          <w:vertAlign w:val="subscript"/>
        </w:rPr>
        <w:t>4.</w:t>
      </w:r>
      <w:r w:rsidRPr="00FA4C33">
        <w:rPr>
          <w:rFonts w:ascii="Times New Roman" w:hAnsi="Times New Roman"/>
          <w:szCs w:val="22"/>
        </w:rPr>
        <w:t>status</w:t>
      </w:r>
      <w:r w:rsidR="0050427D" w:rsidRPr="00FA4C33">
        <w:rPr>
          <w:rFonts w:ascii="Times New Roman" w:hAnsi="Times New Roman"/>
          <w:szCs w:val="22"/>
        </w:rPr>
        <w:t xml:space="preserve"> + β</w:t>
      </w:r>
      <w:r w:rsidR="0050427D" w:rsidRPr="00FA4C33">
        <w:rPr>
          <w:rFonts w:ascii="Times New Roman" w:hAnsi="Times New Roman"/>
          <w:szCs w:val="22"/>
          <w:vertAlign w:val="subscript"/>
        </w:rPr>
        <w:t>5.</w:t>
      </w:r>
      <w:r w:rsidR="0050427D" w:rsidRPr="00FA4C33">
        <w:rPr>
          <w:rFonts w:ascii="Times New Roman" w:hAnsi="Times New Roman"/>
          <w:szCs w:val="22"/>
        </w:rPr>
        <w:t>pendapatan</w:t>
      </w:r>
      <w:r w:rsidR="0050427D" w:rsidRPr="00FA4C33">
        <w:rPr>
          <w:rFonts w:ascii="Times New Roman" w:hAnsi="Times New Roman"/>
          <w:szCs w:val="22"/>
          <w:vertAlign w:val="subscript"/>
        </w:rPr>
        <w:t>i</w:t>
      </w:r>
      <w:r w:rsidR="0050427D" w:rsidRPr="00FA4C33">
        <w:rPr>
          <w:rFonts w:ascii="Times New Roman" w:hAnsi="Times New Roman"/>
          <w:szCs w:val="22"/>
        </w:rPr>
        <w:t xml:space="preserve"> + β</w:t>
      </w:r>
      <w:r w:rsidR="0050427D" w:rsidRPr="00FA4C33">
        <w:rPr>
          <w:rFonts w:ascii="Times New Roman" w:hAnsi="Times New Roman"/>
          <w:szCs w:val="22"/>
          <w:vertAlign w:val="subscript"/>
        </w:rPr>
        <w:t>6</w:t>
      </w:r>
      <w:r w:rsidRPr="00FA4C33">
        <w:rPr>
          <w:rFonts w:ascii="Times New Roman" w:hAnsi="Times New Roman"/>
          <w:szCs w:val="22"/>
        </w:rPr>
        <w:t>.usia</w:t>
      </w:r>
      <w:r w:rsidR="0050427D" w:rsidRPr="00FA4C33">
        <w:rPr>
          <w:rFonts w:ascii="Times New Roman" w:hAnsi="Times New Roman"/>
          <w:szCs w:val="22"/>
          <w:vertAlign w:val="subscript"/>
        </w:rPr>
        <w:t>i</w:t>
      </w:r>
      <w:r w:rsidR="0050427D" w:rsidRPr="00FA4C33">
        <w:rPr>
          <w:rFonts w:ascii="Times New Roman" w:hAnsi="Times New Roman"/>
          <w:szCs w:val="22"/>
        </w:rPr>
        <w:t xml:space="preserve"> + </w:t>
      </w:r>
      <w:r w:rsidRPr="00FA4C33">
        <w:rPr>
          <w:rFonts w:ascii="Cambria Math" w:eastAsia="Calibri" w:hAnsi="Cambria Math" w:cs="Cambria Math"/>
          <w:szCs w:val="22"/>
        </w:rPr>
        <w:t>𝑢</w:t>
      </w:r>
      <w:r w:rsidR="0050427D" w:rsidRPr="00FA4C33">
        <w:rPr>
          <w:rFonts w:ascii="Times New Roman" w:hAnsi="Times New Roman"/>
          <w:szCs w:val="22"/>
          <w:vertAlign w:val="subscript"/>
        </w:rPr>
        <w:t>i</w:t>
      </w:r>
    </w:p>
    <w:p w:rsidR="00427AEC" w:rsidRPr="00FA4C33" w:rsidRDefault="00427AEC" w:rsidP="00427AEC">
      <w:pPr>
        <w:spacing w:line="360" w:lineRule="auto"/>
        <w:ind w:firstLine="709"/>
        <w:jc w:val="both"/>
        <w:rPr>
          <w:sz w:val="24"/>
        </w:rPr>
      </w:pPr>
      <w:r w:rsidRPr="00FA4C33">
        <w:rPr>
          <w:sz w:val="24"/>
        </w:rPr>
        <w:t>Pengujian simultanitas dilakukan dengan menguji hubungan antara residual dengan</w:t>
      </w:r>
      <w:r w:rsidRPr="00FA4C33">
        <w:rPr>
          <w:i/>
          <w:iCs/>
          <w:sz w:val="24"/>
        </w:rPr>
        <w:t xml:space="preserve"> </w:t>
      </w:r>
      <w:r w:rsidRPr="00FA4C33">
        <w:rPr>
          <w:sz w:val="24"/>
        </w:rPr>
        <w:t xml:space="preserve">variabel independen yang diduga endogen. Tabel 3 menunjukkan langkah pengujiannya, yaitu: meregresikan seluruh variabel independen dengan variabel dependen, </w:t>
      </w:r>
      <w:r w:rsidRPr="00595F9C">
        <w:rPr>
          <w:sz w:val="24"/>
          <w:szCs w:val="24"/>
        </w:rPr>
        <w:t xml:space="preserve">selanjutnya akan dilakukan prediksi linear dari </w:t>
      </w:r>
      <w:r w:rsidRPr="00595F9C">
        <w:rPr>
          <w:i/>
          <w:iCs/>
          <w:sz w:val="24"/>
          <w:szCs w:val="24"/>
        </w:rPr>
        <w:t xml:space="preserve">fitted value </w:t>
      </w:r>
      <w:r w:rsidRPr="00595F9C">
        <w:rPr>
          <w:sz w:val="24"/>
          <w:szCs w:val="24"/>
        </w:rPr>
        <w:t>yang akan digunakan untuk membentuk residual, dan variabel yang diduga endogen akan diregresikan terhadap residual. Apabila residual</w:t>
      </w:r>
      <w:r w:rsidR="00FA4C33" w:rsidRPr="00595F9C">
        <w:rPr>
          <w:sz w:val="24"/>
          <w:szCs w:val="24"/>
        </w:rPr>
        <w:t xml:space="preserve"> signifikan memepngaruhi literasi keuangan</w:t>
      </w:r>
      <w:r w:rsidRPr="00595F9C">
        <w:rPr>
          <w:sz w:val="24"/>
          <w:szCs w:val="24"/>
        </w:rPr>
        <w:t>, maka dapat disimpulkan bahwa terdapat hubungan simultanitas</w:t>
      </w:r>
      <w:r w:rsidR="00FA4C33" w:rsidRPr="00595F9C">
        <w:rPr>
          <w:sz w:val="24"/>
          <w:szCs w:val="24"/>
        </w:rPr>
        <w:t xml:space="preserve"> sehingga pengujian hipotesis harus menggunakan metode estimasi metode estimasi</w:t>
      </w:r>
      <w:r w:rsidR="00FA4C33" w:rsidRPr="00595F9C">
        <w:rPr>
          <w:i/>
          <w:iCs/>
          <w:sz w:val="24"/>
          <w:szCs w:val="24"/>
        </w:rPr>
        <w:t xml:space="preserve"> Control Function </w:t>
      </w:r>
      <w:r w:rsidR="00FA4C33" w:rsidRPr="00595F9C">
        <w:rPr>
          <w:sz w:val="24"/>
          <w:szCs w:val="24"/>
        </w:rPr>
        <w:t>(CF)</w:t>
      </w:r>
      <w:r w:rsidR="00FA4C33" w:rsidRPr="00595F9C">
        <w:rPr>
          <w:i/>
          <w:iCs/>
          <w:sz w:val="24"/>
          <w:szCs w:val="24"/>
        </w:rPr>
        <w:t xml:space="preserve">. </w:t>
      </w:r>
      <w:r w:rsidR="00FA4C33" w:rsidRPr="00595F9C">
        <w:rPr>
          <w:rFonts w:eastAsia="DengXian"/>
          <w:sz w:val="24"/>
          <w:szCs w:val="24"/>
        </w:rPr>
        <w:t xml:space="preserve">Namun apabila keduanya tidak terbukti memiliki hubungan kausalitas, pengujian hipotesis dilakukan dengan menggunakan emtode estimasi </w:t>
      </w:r>
      <w:r w:rsidR="00FA4C33" w:rsidRPr="00595F9C">
        <w:rPr>
          <w:rFonts w:eastAsia="DengXian"/>
          <w:i/>
          <w:sz w:val="24"/>
          <w:szCs w:val="24"/>
        </w:rPr>
        <w:t>Maximum Likelihood</w:t>
      </w:r>
      <w:r w:rsidR="00FA4C33" w:rsidRPr="00595F9C">
        <w:rPr>
          <w:rFonts w:eastAsia="DengXian"/>
          <w:sz w:val="24"/>
          <w:szCs w:val="24"/>
        </w:rPr>
        <w:t xml:space="preserve"> (ML)</w:t>
      </w:r>
      <w:r w:rsidR="00595F9C">
        <w:rPr>
          <w:rFonts w:eastAsia="DengXian"/>
          <w:sz w:val="24"/>
          <w:szCs w:val="24"/>
        </w:rPr>
        <w:t>.</w:t>
      </w:r>
    </w:p>
    <w:p w:rsidR="00427AEC" w:rsidRPr="00FA4C33" w:rsidRDefault="00427AEC" w:rsidP="00427AEC">
      <w:pPr>
        <w:spacing w:line="360" w:lineRule="auto"/>
        <w:jc w:val="center"/>
        <w:rPr>
          <w:sz w:val="24"/>
        </w:rPr>
      </w:pPr>
      <w:r w:rsidRPr="00FA4C33">
        <w:rPr>
          <w:sz w:val="24"/>
        </w:rPr>
        <w:t>Tabel 3. Model uji simultanitas dan endogenitas variabel</w:t>
      </w:r>
    </w:p>
    <w:tbl>
      <w:tblPr>
        <w:tblStyle w:val="TableGrid"/>
        <w:tblW w:w="963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655"/>
        <w:gridCol w:w="1979"/>
      </w:tblGrid>
      <w:tr w:rsidR="00427AEC" w:rsidRPr="00FA4C33" w:rsidTr="00427AEC">
        <w:trPr>
          <w:trHeight w:val="149"/>
          <w:jc w:val="center"/>
        </w:trPr>
        <w:tc>
          <w:tcPr>
            <w:tcW w:w="7655" w:type="dxa"/>
            <w:tcBorders>
              <w:top w:val="single" w:sz="4" w:space="0" w:color="auto"/>
              <w:left w:val="nil"/>
              <w:bottom w:val="single" w:sz="4" w:space="0" w:color="auto"/>
              <w:right w:val="nil"/>
            </w:tcBorders>
            <w:hideMark/>
          </w:tcPr>
          <w:p w:rsidR="00427AEC" w:rsidRPr="00FA4C33" w:rsidRDefault="00427AEC">
            <w:pPr>
              <w:spacing w:line="360" w:lineRule="auto"/>
              <w:jc w:val="center"/>
            </w:pPr>
            <w:r w:rsidRPr="00FA4C33">
              <w:t>Model</w:t>
            </w:r>
          </w:p>
        </w:tc>
        <w:tc>
          <w:tcPr>
            <w:tcW w:w="1979" w:type="dxa"/>
            <w:tcBorders>
              <w:top w:val="single" w:sz="4" w:space="0" w:color="auto"/>
              <w:left w:val="nil"/>
              <w:bottom w:val="single" w:sz="4" w:space="0" w:color="auto"/>
              <w:right w:val="nil"/>
            </w:tcBorders>
            <w:hideMark/>
          </w:tcPr>
          <w:p w:rsidR="00427AEC" w:rsidRPr="00FA4C33" w:rsidRDefault="00427AEC">
            <w:pPr>
              <w:spacing w:line="360" w:lineRule="auto"/>
              <w:jc w:val="center"/>
            </w:pPr>
            <w:r w:rsidRPr="00FA4C33">
              <w:t>Keterangan</w:t>
            </w:r>
          </w:p>
        </w:tc>
      </w:tr>
      <w:tr w:rsidR="00427AEC" w:rsidRPr="00FA4C33" w:rsidTr="00427AEC">
        <w:trPr>
          <w:trHeight w:val="434"/>
          <w:jc w:val="center"/>
        </w:trPr>
        <w:tc>
          <w:tcPr>
            <w:tcW w:w="7655" w:type="dxa"/>
            <w:tcBorders>
              <w:top w:val="single" w:sz="4" w:space="0" w:color="auto"/>
              <w:left w:val="nil"/>
              <w:bottom w:val="nil"/>
              <w:right w:val="nil"/>
            </w:tcBorders>
            <w:hideMark/>
          </w:tcPr>
          <w:p w:rsidR="00427AEC" w:rsidRPr="00FA4C33" w:rsidRDefault="00427AEC" w:rsidP="00427AEC">
            <w:pPr>
              <w:pStyle w:val="ListParagraph1"/>
              <w:spacing w:after="0" w:line="360" w:lineRule="auto"/>
              <w:ind w:left="1878" w:hanging="1878"/>
              <w:jc w:val="both"/>
              <w:rPr>
                <w:rFonts w:ascii="Times New Roman" w:hAnsi="Times New Roman"/>
                <w:sz w:val="22"/>
                <w:szCs w:val="22"/>
                <w:vertAlign w:val="subscript"/>
              </w:rPr>
            </w:pPr>
            <w:r w:rsidRPr="00FA4C33">
              <w:rPr>
                <w:rFonts w:ascii="Times New Roman" w:hAnsi="Times New Roman"/>
                <w:sz w:val="22"/>
                <w:szCs w:val="22"/>
              </w:rPr>
              <w:t>konsultasi</w:t>
            </w:r>
            <w:r w:rsidRPr="00FA4C33">
              <w:rPr>
                <w:rFonts w:ascii="Times New Roman" w:hAnsi="Times New Roman"/>
                <w:sz w:val="22"/>
                <w:szCs w:val="22"/>
                <w:vertAlign w:val="subscript"/>
              </w:rPr>
              <w:t>i</w:t>
            </w:r>
            <w:r w:rsidRPr="00FA4C33">
              <w:rPr>
                <w:rFonts w:ascii="Times New Roman" w:hAnsi="Times New Roman"/>
                <w:sz w:val="22"/>
                <w:szCs w:val="22"/>
              </w:rPr>
              <w:t xml:space="preserve">          = α + β</w:t>
            </w:r>
            <w:r w:rsidRPr="00FA4C33">
              <w:rPr>
                <w:rFonts w:ascii="Times New Roman" w:hAnsi="Times New Roman"/>
                <w:sz w:val="22"/>
                <w:szCs w:val="22"/>
                <w:vertAlign w:val="subscript"/>
              </w:rPr>
              <w:t>1</w:t>
            </w:r>
            <w:r w:rsidRPr="00FA4C33">
              <w:rPr>
                <w:rFonts w:ascii="Times New Roman" w:hAnsi="Times New Roman"/>
                <w:sz w:val="22"/>
                <w:szCs w:val="22"/>
              </w:rPr>
              <w:t>.literasi</w:t>
            </w:r>
            <w:r w:rsidRPr="00FA4C33">
              <w:rPr>
                <w:rFonts w:ascii="Times New Roman" w:hAnsi="Times New Roman"/>
                <w:sz w:val="22"/>
                <w:szCs w:val="22"/>
                <w:vertAlign w:val="subscript"/>
              </w:rPr>
              <w:t>i</w:t>
            </w:r>
            <w:r w:rsidRPr="00FA4C33">
              <w:rPr>
                <w:rFonts w:ascii="Times New Roman" w:hAnsi="Times New Roman"/>
                <w:sz w:val="22"/>
                <w:szCs w:val="22"/>
              </w:rPr>
              <w:t xml:space="preserve"> + β</w:t>
            </w:r>
            <w:r w:rsidRPr="00FA4C33">
              <w:rPr>
                <w:rFonts w:ascii="Times New Roman" w:hAnsi="Times New Roman"/>
                <w:sz w:val="22"/>
                <w:szCs w:val="22"/>
                <w:vertAlign w:val="subscript"/>
              </w:rPr>
              <w:t>2</w:t>
            </w:r>
            <w:r w:rsidRPr="00FA4C33">
              <w:rPr>
                <w:rFonts w:ascii="Times New Roman" w:hAnsi="Times New Roman"/>
                <w:sz w:val="22"/>
                <w:szCs w:val="22"/>
              </w:rPr>
              <w:t>.kepercayaan diri</w:t>
            </w:r>
            <w:r w:rsidRPr="00FA4C33">
              <w:rPr>
                <w:rFonts w:ascii="Times New Roman" w:hAnsi="Times New Roman"/>
                <w:sz w:val="22"/>
                <w:szCs w:val="22"/>
                <w:vertAlign w:val="subscript"/>
              </w:rPr>
              <w:t>i</w:t>
            </w:r>
            <w:r w:rsidRPr="00FA4C33">
              <w:rPr>
                <w:rFonts w:ascii="Times New Roman" w:hAnsi="Times New Roman"/>
                <w:sz w:val="22"/>
                <w:szCs w:val="22"/>
              </w:rPr>
              <w:t xml:space="preserve"> + β</w:t>
            </w:r>
            <w:r w:rsidRPr="00FA4C33">
              <w:rPr>
                <w:rFonts w:ascii="Times New Roman" w:hAnsi="Times New Roman"/>
                <w:sz w:val="22"/>
                <w:szCs w:val="22"/>
                <w:vertAlign w:val="subscript"/>
              </w:rPr>
              <w:t>3</w:t>
            </w:r>
            <w:r w:rsidRPr="00FA4C33">
              <w:rPr>
                <w:rFonts w:ascii="Times New Roman" w:hAnsi="Times New Roman"/>
                <w:sz w:val="22"/>
                <w:szCs w:val="22"/>
              </w:rPr>
              <w:t>.gender</w:t>
            </w:r>
            <w:r w:rsidRPr="00FA4C33">
              <w:rPr>
                <w:rFonts w:ascii="Times New Roman" w:hAnsi="Times New Roman"/>
                <w:sz w:val="22"/>
                <w:szCs w:val="22"/>
                <w:vertAlign w:val="subscript"/>
              </w:rPr>
              <w:t>i</w:t>
            </w:r>
            <w:r w:rsidRPr="00FA4C33">
              <w:rPr>
                <w:rFonts w:ascii="Times New Roman" w:hAnsi="Times New Roman"/>
                <w:sz w:val="22"/>
                <w:szCs w:val="22"/>
              </w:rPr>
              <w:t xml:space="preserve"> + β</w:t>
            </w:r>
            <w:r w:rsidRPr="00FA4C33">
              <w:rPr>
                <w:rFonts w:ascii="Times New Roman" w:hAnsi="Times New Roman"/>
                <w:sz w:val="22"/>
                <w:szCs w:val="22"/>
                <w:vertAlign w:val="subscript"/>
              </w:rPr>
              <w:t>4.</w:t>
            </w:r>
            <w:r w:rsidRPr="00FA4C33">
              <w:rPr>
                <w:rFonts w:ascii="Times New Roman" w:hAnsi="Times New Roman"/>
                <w:sz w:val="22"/>
                <w:szCs w:val="22"/>
              </w:rPr>
              <w:t>status+ β</w:t>
            </w:r>
            <w:r w:rsidRPr="00FA4C33">
              <w:rPr>
                <w:rFonts w:ascii="Times New Roman" w:hAnsi="Times New Roman"/>
                <w:sz w:val="22"/>
                <w:szCs w:val="22"/>
                <w:vertAlign w:val="subscript"/>
              </w:rPr>
              <w:t>5.</w:t>
            </w:r>
            <w:r w:rsidRPr="00FA4C33">
              <w:rPr>
                <w:rFonts w:ascii="Times New Roman" w:hAnsi="Times New Roman"/>
                <w:sz w:val="22"/>
                <w:szCs w:val="22"/>
              </w:rPr>
              <w:t>pendapatan</w:t>
            </w:r>
            <w:r w:rsidRPr="00FA4C33">
              <w:rPr>
                <w:rFonts w:ascii="Times New Roman" w:hAnsi="Times New Roman"/>
                <w:sz w:val="22"/>
                <w:szCs w:val="22"/>
                <w:vertAlign w:val="subscript"/>
              </w:rPr>
              <w:t>i</w:t>
            </w:r>
            <w:r w:rsidRPr="00FA4C33">
              <w:rPr>
                <w:rFonts w:ascii="Times New Roman" w:hAnsi="Times New Roman"/>
                <w:sz w:val="22"/>
                <w:szCs w:val="22"/>
              </w:rPr>
              <w:t xml:space="preserve"> + β</w:t>
            </w:r>
            <w:r w:rsidRPr="00FA4C33">
              <w:rPr>
                <w:rFonts w:ascii="Times New Roman" w:hAnsi="Times New Roman"/>
                <w:sz w:val="22"/>
                <w:szCs w:val="22"/>
                <w:vertAlign w:val="subscript"/>
              </w:rPr>
              <w:t>6</w:t>
            </w:r>
            <w:r w:rsidRPr="00FA4C33">
              <w:rPr>
                <w:rFonts w:ascii="Times New Roman" w:hAnsi="Times New Roman"/>
                <w:sz w:val="22"/>
                <w:szCs w:val="22"/>
              </w:rPr>
              <w:t>.usia</w:t>
            </w:r>
            <w:r w:rsidRPr="00FA4C33">
              <w:rPr>
                <w:rFonts w:ascii="Times New Roman" w:hAnsi="Times New Roman"/>
                <w:sz w:val="22"/>
                <w:szCs w:val="22"/>
                <w:vertAlign w:val="subscript"/>
              </w:rPr>
              <w:t>i</w:t>
            </w:r>
            <w:r w:rsidRPr="00FA4C33">
              <w:rPr>
                <w:rFonts w:ascii="Times New Roman" w:hAnsi="Times New Roman"/>
                <w:sz w:val="22"/>
                <w:szCs w:val="22"/>
              </w:rPr>
              <w:t xml:space="preserve"> + </w:t>
            </w:r>
            <w:r w:rsidRPr="00FA4C33">
              <w:rPr>
                <w:rFonts w:ascii="Cambria Math" w:eastAsia="Calibri" w:hAnsi="Cambria Math" w:cs="Cambria Math"/>
                <w:sz w:val="22"/>
                <w:szCs w:val="22"/>
              </w:rPr>
              <w:t>𝑢</w:t>
            </w:r>
            <w:r w:rsidRPr="00FA4C33">
              <w:rPr>
                <w:rFonts w:ascii="Times New Roman" w:hAnsi="Times New Roman"/>
                <w:sz w:val="22"/>
                <w:szCs w:val="22"/>
                <w:vertAlign w:val="subscript"/>
              </w:rPr>
              <w:t>i</w:t>
            </w:r>
          </w:p>
        </w:tc>
        <w:tc>
          <w:tcPr>
            <w:tcW w:w="1979" w:type="dxa"/>
            <w:tcBorders>
              <w:top w:val="single" w:sz="4" w:space="0" w:color="auto"/>
              <w:left w:val="nil"/>
              <w:bottom w:val="nil"/>
              <w:right w:val="nil"/>
            </w:tcBorders>
            <w:hideMark/>
          </w:tcPr>
          <w:p w:rsidR="00427AEC" w:rsidRPr="00FA4C33" w:rsidRDefault="00427AEC">
            <w:pPr>
              <w:spacing w:line="360" w:lineRule="auto"/>
              <w:ind w:left="-88" w:firstLine="88"/>
              <w:jc w:val="center"/>
              <w:rPr>
                <w:sz w:val="22"/>
                <w:szCs w:val="22"/>
              </w:rPr>
            </w:pPr>
            <w:r w:rsidRPr="00FA4C33">
              <w:t>Regresi</w:t>
            </w:r>
            <w:r w:rsidRPr="00FA4C33">
              <w:rPr>
                <w:i/>
                <w:iCs/>
              </w:rPr>
              <w:t xml:space="preserve"> probit</w:t>
            </w:r>
          </w:p>
        </w:tc>
      </w:tr>
      <w:tr w:rsidR="00427AEC" w:rsidRPr="00FA4C33" w:rsidTr="00427AEC">
        <w:trPr>
          <w:trHeight w:val="434"/>
          <w:jc w:val="center"/>
        </w:trPr>
        <w:tc>
          <w:tcPr>
            <w:tcW w:w="7655" w:type="dxa"/>
            <w:tcBorders>
              <w:top w:val="nil"/>
              <w:left w:val="nil"/>
              <w:bottom w:val="nil"/>
              <w:right w:val="nil"/>
            </w:tcBorders>
            <w:hideMark/>
          </w:tcPr>
          <w:p w:rsidR="00427AEC" w:rsidRPr="00FA4C33" w:rsidRDefault="00427AEC" w:rsidP="00427AEC">
            <w:pPr>
              <w:pStyle w:val="ListParagraph1"/>
              <w:spacing w:after="0" w:line="360" w:lineRule="auto"/>
              <w:ind w:left="0"/>
              <w:jc w:val="both"/>
              <w:rPr>
                <w:rFonts w:ascii="Times New Roman" w:hAnsi="Times New Roman"/>
                <w:szCs w:val="22"/>
              </w:rPr>
            </w:pPr>
            <w:r w:rsidRPr="00FA4C33">
              <w:rPr>
                <w:rFonts w:ascii="Times New Roman" w:hAnsi="Times New Roman"/>
                <w:sz w:val="22"/>
                <w:szCs w:val="22"/>
              </w:rPr>
              <w:t xml:space="preserve">konsultasi_resid </w:t>
            </w:r>
            <w:r w:rsidR="00583442">
              <w:rPr>
                <w:rFonts w:ascii="Times New Roman" w:hAnsi="Times New Roman"/>
                <w:sz w:val="22"/>
                <w:szCs w:val="22"/>
              </w:rPr>
              <w:t xml:space="preserve">   </w:t>
            </w:r>
            <w:r w:rsidRPr="00FA4C33">
              <w:rPr>
                <w:rFonts w:ascii="Times New Roman" w:hAnsi="Times New Roman"/>
                <w:sz w:val="22"/>
                <w:szCs w:val="22"/>
              </w:rPr>
              <w:t xml:space="preserve">= konsultasi – </w:t>
            </w:r>
            <m:oMath>
              <m:acc>
                <m:accPr>
                  <m:ctrlPr>
                    <w:rPr>
                      <w:rFonts w:ascii="Cambria Math" w:hAnsi="Cambria Math"/>
                      <w:smallCaps/>
                      <w:szCs w:val="22"/>
                    </w:rPr>
                  </m:ctrlPr>
                </m:accPr>
                <m:e>
                  <m:r>
                    <w:rPr>
                      <w:rFonts w:ascii="Cambria Math" w:hAnsi="Cambria Math"/>
                      <w:smallCaps/>
                      <w:szCs w:val="22"/>
                    </w:rPr>
                    <m:t>konsultasi</m:t>
                  </m:r>
                </m:e>
              </m:acc>
            </m:oMath>
          </w:p>
        </w:tc>
        <w:tc>
          <w:tcPr>
            <w:tcW w:w="1979" w:type="dxa"/>
            <w:tcBorders>
              <w:top w:val="nil"/>
              <w:left w:val="nil"/>
              <w:bottom w:val="nil"/>
              <w:right w:val="nil"/>
            </w:tcBorders>
            <w:hideMark/>
          </w:tcPr>
          <w:p w:rsidR="00427AEC" w:rsidRPr="00FA4C33" w:rsidRDefault="00427AEC">
            <w:pPr>
              <w:spacing w:line="360" w:lineRule="auto"/>
              <w:ind w:left="-88" w:firstLine="88"/>
              <w:jc w:val="center"/>
              <w:rPr>
                <w:sz w:val="22"/>
                <w:szCs w:val="22"/>
              </w:rPr>
            </w:pPr>
            <w:r w:rsidRPr="00FA4C33">
              <w:t>Residual</w:t>
            </w:r>
          </w:p>
        </w:tc>
      </w:tr>
      <w:tr w:rsidR="00427AEC" w:rsidRPr="00FA4C33" w:rsidTr="00427AEC">
        <w:trPr>
          <w:trHeight w:val="434"/>
          <w:jc w:val="center"/>
        </w:trPr>
        <w:tc>
          <w:tcPr>
            <w:tcW w:w="7655" w:type="dxa"/>
            <w:tcBorders>
              <w:top w:val="nil"/>
              <w:left w:val="nil"/>
              <w:bottom w:val="single" w:sz="4" w:space="0" w:color="auto"/>
              <w:right w:val="nil"/>
            </w:tcBorders>
            <w:hideMark/>
          </w:tcPr>
          <w:p w:rsidR="00427AEC" w:rsidRPr="00FA4C33" w:rsidRDefault="00427AEC">
            <w:pPr>
              <w:pStyle w:val="ListParagraph1"/>
              <w:spacing w:after="0" w:line="360" w:lineRule="auto"/>
              <w:ind w:left="1455" w:hanging="1447"/>
              <w:jc w:val="both"/>
              <w:rPr>
                <w:rFonts w:ascii="Times New Roman" w:hAnsi="Times New Roman"/>
                <w:sz w:val="22"/>
                <w:szCs w:val="22"/>
              </w:rPr>
            </w:pPr>
            <w:r w:rsidRPr="00FA4C33">
              <w:rPr>
                <w:rFonts w:ascii="Times New Roman" w:hAnsi="Times New Roman"/>
                <w:sz w:val="22"/>
                <w:szCs w:val="22"/>
              </w:rPr>
              <w:t>literasi</w:t>
            </w:r>
            <w:r w:rsidRPr="00FA4C33">
              <w:rPr>
                <w:rFonts w:ascii="Times New Roman" w:hAnsi="Times New Roman"/>
                <w:sz w:val="22"/>
                <w:szCs w:val="22"/>
                <w:vertAlign w:val="subscript"/>
              </w:rPr>
              <w:t>i</w:t>
            </w:r>
            <w:r w:rsidR="00583442">
              <w:rPr>
                <w:rFonts w:ascii="Times New Roman" w:hAnsi="Times New Roman"/>
                <w:sz w:val="22"/>
                <w:szCs w:val="22"/>
                <w:vertAlign w:val="subscript"/>
              </w:rPr>
              <w:t xml:space="preserve">                             </w:t>
            </w:r>
            <w:r w:rsidRPr="00FA4C33">
              <w:rPr>
                <w:rFonts w:ascii="Times New Roman" w:hAnsi="Times New Roman"/>
                <w:sz w:val="22"/>
                <w:szCs w:val="22"/>
              </w:rPr>
              <w:t>= α + β</w:t>
            </w:r>
            <w:r w:rsidRPr="00FA4C33">
              <w:rPr>
                <w:rFonts w:ascii="Times New Roman" w:hAnsi="Times New Roman"/>
                <w:sz w:val="22"/>
                <w:szCs w:val="22"/>
                <w:vertAlign w:val="subscript"/>
              </w:rPr>
              <w:t>1</w:t>
            </w:r>
            <w:r w:rsidRPr="00FA4C33">
              <w:rPr>
                <w:rFonts w:ascii="Times New Roman" w:hAnsi="Times New Roman"/>
                <w:sz w:val="22"/>
                <w:szCs w:val="22"/>
              </w:rPr>
              <w:t>.</w:t>
            </w:r>
            <w:r w:rsidRPr="00FA4C33">
              <w:rPr>
                <w:rFonts w:ascii="Times New Roman" w:hAnsi="Times New Roman"/>
                <w:sz w:val="22"/>
                <w:szCs w:val="22"/>
                <w:vertAlign w:val="subscript"/>
              </w:rPr>
              <w:t xml:space="preserve"> </w:t>
            </w:r>
            <w:r w:rsidRPr="00FA4C33">
              <w:rPr>
                <w:rFonts w:ascii="Times New Roman" w:hAnsi="Times New Roman"/>
                <w:sz w:val="22"/>
                <w:szCs w:val="22"/>
              </w:rPr>
              <w:t>konsultasi_resid</w:t>
            </w:r>
            <w:r w:rsidRPr="00FA4C33">
              <w:rPr>
                <w:rFonts w:ascii="Times New Roman" w:hAnsi="Times New Roman"/>
                <w:sz w:val="22"/>
                <w:szCs w:val="22"/>
                <w:vertAlign w:val="subscript"/>
              </w:rPr>
              <w:t>i</w:t>
            </w:r>
            <w:r w:rsidRPr="00FA4C33">
              <w:rPr>
                <w:rFonts w:ascii="Times New Roman" w:hAnsi="Times New Roman"/>
                <w:sz w:val="22"/>
                <w:szCs w:val="22"/>
              </w:rPr>
              <w:t xml:space="preserve"> + β</w:t>
            </w:r>
            <w:r w:rsidRPr="00FA4C33">
              <w:rPr>
                <w:rFonts w:ascii="Times New Roman" w:hAnsi="Times New Roman"/>
                <w:sz w:val="22"/>
                <w:szCs w:val="22"/>
                <w:vertAlign w:val="subscript"/>
              </w:rPr>
              <w:t>2</w:t>
            </w:r>
            <w:r w:rsidRPr="00FA4C33">
              <w:rPr>
                <w:rFonts w:ascii="Times New Roman" w:hAnsi="Times New Roman"/>
                <w:sz w:val="22"/>
                <w:szCs w:val="22"/>
              </w:rPr>
              <w:t>.kepercayaan diri</w:t>
            </w:r>
            <w:r w:rsidRPr="00FA4C33">
              <w:rPr>
                <w:rFonts w:ascii="Times New Roman" w:hAnsi="Times New Roman"/>
                <w:sz w:val="22"/>
                <w:szCs w:val="22"/>
                <w:vertAlign w:val="subscript"/>
              </w:rPr>
              <w:t>i</w:t>
            </w:r>
            <w:r w:rsidRPr="00FA4C33">
              <w:rPr>
                <w:rFonts w:ascii="Times New Roman" w:hAnsi="Times New Roman"/>
                <w:sz w:val="22"/>
                <w:szCs w:val="22"/>
              </w:rPr>
              <w:t xml:space="preserve"> + β</w:t>
            </w:r>
            <w:r w:rsidRPr="00FA4C33">
              <w:rPr>
                <w:rFonts w:ascii="Times New Roman" w:hAnsi="Times New Roman"/>
                <w:sz w:val="22"/>
                <w:szCs w:val="22"/>
                <w:vertAlign w:val="subscript"/>
              </w:rPr>
              <w:t>3</w:t>
            </w:r>
            <w:r w:rsidRPr="00FA4C33">
              <w:rPr>
                <w:rFonts w:ascii="Times New Roman" w:hAnsi="Times New Roman"/>
                <w:sz w:val="22"/>
                <w:szCs w:val="22"/>
              </w:rPr>
              <w:t>.gender</w:t>
            </w:r>
            <w:r w:rsidRPr="00FA4C33">
              <w:rPr>
                <w:rFonts w:ascii="Times New Roman" w:hAnsi="Times New Roman"/>
                <w:sz w:val="22"/>
                <w:szCs w:val="22"/>
                <w:vertAlign w:val="subscript"/>
              </w:rPr>
              <w:t>i</w:t>
            </w:r>
            <w:r w:rsidRPr="00FA4C33">
              <w:rPr>
                <w:rFonts w:ascii="Times New Roman" w:hAnsi="Times New Roman"/>
                <w:sz w:val="22"/>
                <w:szCs w:val="22"/>
              </w:rPr>
              <w:t xml:space="preserve"> +   </w:t>
            </w:r>
          </w:p>
          <w:p w:rsidR="00427AEC" w:rsidRPr="00FA4C33" w:rsidRDefault="00427AEC" w:rsidP="00583442">
            <w:pPr>
              <w:pStyle w:val="ListParagraph1"/>
              <w:spacing w:after="0" w:line="360" w:lineRule="auto"/>
              <w:ind w:left="851" w:firstLine="1021"/>
              <w:jc w:val="both"/>
              <w:rPr>
                <w:rFonts w:ascii="Times New Roman" w:hAnsi="Times New Roman"/>
                <w:sz w:val="22"/>
                <w:szCs w:val="22"/>
                <w:vertAlign w:val="subscript"/>
              </w:rPr>
            </w:pPr>
            <w:r w:rsidRPr="00FA4C33">
              <w:rPr>
                <w:rFonts w:ascii="Times New Roman" w:hAnsi="Times New Roman"/>
                <w:sz w:val="22"/>
                <w:szCs w:val="22"/>
              </w:rPr>
              <w:t xml:space="preserve"> β</w:t>
            </w:r>
            <w:r w:rsidRPr="00FA4C33">
              <w:rPr>
                <w:rFonts w:ascii="Times New Roman" w:hAnsi="Times New Roman"/>
                <w:sz w:val="22"/>
                <w:szCs w:val="22"/>
                <w:vertAlign w:val="subscript"/>
              </w:rPr>
              <w:t>4.</w:t>
            </w:r>
            <w:r w:rsidRPr="00FA4C33">
              <w:rPr>
                <w:rFonts w:ascii="Times New Roman" w:hAnsi="Times New Roman"/>
                <w:sz w:val="22"/>
                <w:szCs w:val="22"/>
              </w:rPr>
              <w:t>status + β</w:t>
            </w:r>
            <w:r w:rsidRPr="00FA4C33">
              <w:rPr>
                <w:rFonts w:ascii="Times New Roman" w:hAnsi="Times New Roman"/>
                <w:sz w:val="22"/>
                <w:szCs w:val="22"/>
                <w:vertAlign w:val="subscript"/>
              </w:rPr>
              <w:t>5.</w:t>
            </w:r>
            <w:r w:rsidRPr="00FA4C33">
              <w:rPr>
                <w:rFonts w:ascii="Times New Roman" w:hAnsi="Times New Roman"/>
                <w:sz w:val="22"/>
                <w:szCs w:val="22"/>
              </w:rPr>
              <w:t>pendapatan</w:t>
            </w:r>
            <w:r w:rsidRPr="00FA4C33">
              <w:rPr>
                <w:rFonts w:ascii="Times New Roman" w:hAnsi="Times New Roman"/>
                <w:sz w:val="22"/>
                <w:szCs w:val="22"/>
                <w:vertAlign w:val="subscript"/>
              </w:rPr>
              <w:t>i</w:t>
            </w:r>
            <w:r w:rsidRPr="00FA4C33">
              <w:rPr>
                <w:rFonts w:ascii="Times New Roman" w:hAnsi="Times New Roman"/>
                <w:sz w:val="22"/>
                <w:szCs w:val="22"/>
              </w:rPr>
              <w:t xml:space="preserve"> + β</w:t>
            </w:r>
            <w:r w:rsidRPr="00FA4C33">
              <w:rPr>
                <w:rFonts w:ascii="Times New Roman" w:hAnsi="Times New Roman"/>
                <w:sz w:val="22"/>
                <w:szCs w:val="22"/>
                <w:vertAlign w:val="subscript"/>
              </w:rPr>
              <w:t>6</w:t>
            </w:r>
            <w:r w:rsidRPr="00FA4C33">
              <w:rPr>
                <w:rFonts w:ascii="Times New Roman" w:hAnsi="Times New Roman"/>
                <w:sz w:val="22"/>
                <w:szCs w:val="22"/>
              </w:rPr>
              <w:t>.usia</w:t>
            </w:r>
            <w:r w:rsidRPr="00FA4C33">
              <w:rPr>
                <w:rFonts w:ascii="Times New Roman" w:hAnsi="Times New Roman"/>
                <w:sz w:val="22"/>
                <w:szCs w:val="22"/>
                <w:vertAlign w:val="subscript"/>
              </w:rPr>
              <w:t>i</w:t>
            </w:r>
            <w:r w:rsidRPr="00FA4C33">
              <w:rPr>
                <w:rFonts w:ascii="Times New Roman" w:hAnsi="Times New Roman"/>
                <w:sz w:val="22"/>
                <w:szCs w:val="22"/>
              </w:rPr>
              <w:t xml:space="preserve"> + </w:t>
            </w:r>
            <w:r w:rsidRPr="00FA4C33">
              <w:rPr>
                <w:rFonts w:ascii="Cambria Math" w:eastAsia="Calibri" w:hAnsi="Cambria Math" w:cs="Cambria Math"/>
                <w:sz w:val="22"/>
                <w:szCs w:val="22"/>
              </w:rPr>
              <w:t>𝑢</w:t>
            </w:r>
            <w:r w:rsidRPr="00FA4C33">
              <w:rPr>
                <w:rFonts w:ascii="Times New Roman" w:hAnsi="Times New Roman"/>
                <w:sz w:val="22"/>
                <w:szCs w:val="22"/>
                <w:vertAlign w:val="subscript"/>
              </w:rPr>
              <w:t>i</w:t>
            </w:r>
          </w:p>
        </w:tc>
        <w:tc>
          <w:tcPr>
            <w:tcW w:w="1979" w:type="dxa"/>
            <w:tcBorders>
              <w:top w:val="nil"/>
              <w:left w:val="nil"/>
              <w:bottom w:val="single" w:sz="4" w:space="0" w:color="auto"/>
              <w:right w:val="nil"/>
            </w:tcBorders>
            <w:hideMark/>
          </w:tcPr>
          <w:p w:rsidR="00427AEC" w:rsidRPr="00FA4C33" w:rsidRDefault="00427AEC">
            <w:pPr>
              <w:spacing w:line="360" w:lineRule="auto"/>
              <w:ind w:left="-88" w:firstLine="88"/>
              <w:jc w:val="center"/>
              <w:rPr>
                <w:sz w:val="22"/>
                <w:szCs w:val="22"/>
              </w:rPr>
            </w:pPr>
            <w:r w:rsidRPr="00FA4C33">
              <w:t>Regresi linier</w:t>
            </w:r>
          </w:p>
        </w:tc>
      </w:tr>
    </w:tbl>
    <w:p w:rsidR="00427AEC" w:rsidRPr="00FA4C33" w:rsidRDefault="00427AEC" w:rsidP="00427AEC">
      <w:pPr>
        <w:pStyle w:val="ListParagraph1"/>
        <w:autoSpaceDE w:val="0"/>
        <w:autoSpaceDN w:val="0"/>
        <w:adjustRightInd w:val="0"/>
        <w:spacing w:after="0" w:line="360" w:lineRule="auto"/>
        <w:ind w:left="0"/>
        <w:jc w:val="both"/>
        <w:rPr>
          <w:rFonts w:ascii="Times New Roman" w:hAnsi="Times New Roman"/>
          <w:b/>
          <w:bCs/>
          <w:sz w:val="22"/>
          <w:szCs w:val="22"/>
        </w:rPr>
      </w:pPr>
      <w:r w:rsidRPr="00FA4C33">
        <w:rPr>
          <w:rFonts w:ascii="Times New Roman" w:hAnsi="Times New Roman"/>
          <w:b/>
          <w:bCs/>
          <w:sz w:val="22"/>
          <w:szCs w:val="22"/>
        </w:rPr>
        <w:t>Keterangan:</w:t>
      </w:r>
    </w:p>
    <w:tbl>
      <w:tblPr>
        <w:tblStyle w:val="TableGrid"/>
        <w:tblW w:w="6805" w:type="dxa"/>
        <w:tblInd w:w="-1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38"/>
        <w:gridCol w:w="317"/>
        <w:gridCol w:w="4650"/>
      </w:tblGrid>
      <w:tr w:rsidR="00427AEC" w:rsidRPr="00FA4C33" w:rsidTr="00427AEC">
        <w:tc>
          <w:tcPr>
            <w:tcW w:w="1838" w:type="dxa"/>
            <w:tcBorders>
              <w:top w:val="nil"/>
              <w:left w:val="nil"/>
              <w:bottom w:val="nil"/>
              <w:right w:val="nil"/>
            </w:tcBorders>
            <w:hideMark/>
          </w:tcPr>
          <w:p w:rsidR="00427AEC" w:rsidRPr="00FA4C33" w:rsidRDefault="00FA4C33" w:rsidP="00FA4C33">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konsultasi</w:t>
            </w:r>
          </w:p>
        </w:tc>
        <w:tc>
          <w:tcPr>
            <w:tcW w:w="317"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w:t>
            </w:r>
          </w:p>
        </w:tc>
        <w:tc>
          <w:tcPr>
            <w:tcW w:w="4650" w:type="dxa"/>
            <w:tcBorders>
              <w:top w:val="nil"/>
              <w:left w:val="nil"/>
              <w:bottom w:val="nil"/>
              <w:right w:val="nil"/>
            </w:tcBorders>
            <w:hideMark/>
          </w:tcPr>
          <w:p w:rsidR="00427AEC" w:rsidRPr="00FA4C33" w:rsidRDefault="00427AEC" w:rsidP="00FA4C33">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 xml:space="preserve">keputusan untuk </w:t>
            </w:r>
            <w:r w:rsidR="00FA4C33" w:rsidRPr="00FA4C33">
              <w:rPr>
                <w:rFonts w:ascii="Times New Roman" w:hAnsi="Times New Roman"/>
                <w:sz w:val="22"/>
                <w:szCs w:val="22"/>
              </w:rPr>
              <w:t>berkonsultasi dengan profesional</w:t>
            </w:r>
          </w:p>
        </w:tc>
      </w:tr>
      <w:tr w:rsidR="00427AEC" w:rsidRPr="00FA4C33" w:rsidTr="00427AEC">
        <w:tc>
          <w:tcPr>
            <w:tcW w:w="1838"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literasi</w:t>
            </w:r>
          </w:p>
        </w:tc>
        <w:tc>
          <w:tcPr>
            <w:tcW w:w="317"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w:t>
            </w:r>
          </w:p>
        </w:tc>
        <w:tc>
          <w:tcPr>
            <w:tcW w:w="4650"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literasi keuangan</w:t>
            </w:r>
          </w:p>
        </w:tc>
      </w:tr>
      <w:tr w:rsidR="00427AEC" w:rsidRPr="00FA4C33" w:rsidTr="00427AEC">
        <w:trPr>
          <w:trHeight w:val="213"/>
        </w:trPr>
        <w:tc>
          <w:tcPr>
            <w:tcW w:w="1838"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kepercayaan diri</w:t>
            </w:r>
          </w:p>
        </w:tc>
        <w:tc>
          <w:tcPr>
            <w:tcW w:w="317"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w:t>
            </w:r>
          </w:p>
        </w:tc>
        <w:tc>
          <w:tcPr>
            <w:tcW w:w="4650"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kepercayaan diri</w:t>
            </w:r>
          </w:p>
        </w:tc>
      </w:tr>
      <w:tr w:rsidR="00427AEC" w:rsidRPr="00FA4C33" w:rsidTr="00427AEC">
        <w:trPr>
          <w:trHeight w:val="213"/>
        </w:trPr>
        <w:tc>
          <w:tcPr>
            <w:tcW w:w="1838"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gender</w:t>
            </w:r>
          </w:p>
        </w:tc>
        <w:tc>
          <w:tcPr>
            <w:tcW w:w="317"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w:t>
            </w:r>
          </w:p>
        </w:tc>
        <w:tc>
          <w:tcPr>
            <w:tcW w:w="4650"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gender</w:t>
            </w:r>
          </w:p>
        </w:tc>
      </w:tr>
      <w:tr w:rsidR="00427AEC" w:rsidRPr="00FA4C33" w:rsidTr="00427AEC">
        <w:trPr>
          <w:trHeight w:val="213"/>
        </w:trPr>
        <w:tc>
          <w:tcPr>
            <w:tcW w:w="1838" w:type="dxa"/>
            <w:tcBorders>
              <w:top w:val="nil"/>
              <w:left w:val="nil"/>
              <w:bottom w:val="nil"/>
              <w:right w:val="nil"/>
            </w:tcBorders>
            <w:hideMark/>
          </w:tcPr>
          <w:p w:rsidR="00427AEC" w:rsidRPr="00FA4C33" w:rsidRDefault="00FA4C33">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status</w:t>
            </w:r>
          </w:p>
        </w:tc>
        <w:tc>
          <w:tcPr>
            <w:tcW w:w="317"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w:t>
            </w:r>
          </w:p>
        </w:tc>
        <w:tc>
          <w:tcPr>
            <w:tcW w:w="4650" w:type="dxa"/>
            <w:tcBorders>
              <w:top w:val="nil"/>
              <w:left w:val="nil"/>
              <w:bottom w:val="nil"/>
              <w:right w:val="nil"/>
            </w:tcBorders>
            <w:hideMark/>
          </w:tcPr>
          <w:p w:rsidR="00427AEC" w:rsidRPr="00FA4C33" w:rsidRDefault="00FA4C33">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status pernikahan</w:t>
            </w:r>
          </w:p>
        </w:tc>
      </w:tr>
      <w:tr w:rsidR="00427AEC" w:rsidRPr="00FA4C33" w:rsidTr="00427AEC">
        <w:tc>
          <w:tcPr>
            <w:tcW w:w="1838"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pendapatan</w:t>
            </w:r>
          </w:p>
        </w:tc>
        <w:tc>
          <w:tcPr>
            <w:tcW w:w="317"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w:t>
            </w:r>
          </w:p>
        </w:tc>
        <w:tc>
          <w:tcPr>
            <w:tcW w:w="4650" w:type="dxa"/>
            <w:tcBorders>
              <w:top w:val="nil"/>
              <w:left w:val="nil"/>
              <w:bottom w:val="nil"/>
              <w:right w:val="nil"/>
            </w:tcBorders>
            <w:hideMark/>
          </w:tcPr>
          <w:p w:rsidR="00427AEC" w:rsidRPr="00FA4C33" w:rsidRDefault="00FA4C33">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p</w:t>
            </w:r>
            <w:r w:rsidR="00427AEC" w:rsidRPr="00FA4C33">
              <w:rPr>
                <w:rFonts w:ascii="Times New Roman" w:hAnsi="Times New Roman"/>
                <w:sz w:val="22"/>
                <w:szCs w:val="22"/>
              </w:rPr>
              <w:t>endapatan</w:t>
            </w:r>
          </w:p>
        </w:tc>
      </w:tr>
      <w:tr w:rsidR="00427AEC" w:rsidRPr="00FA4C33" w:rsidTr="00427AEC">
        <w:tc>
          <w:tcPr>
            <w:tcW w:w="1838" w:type="dxa"/>
            <w:tcBorders>
              <w:top w:val="nil"/>
              <w:left w:val="nil"/>
              <w:bottom w:val="nil"/>
              <w:right w:val="nil"/>
            </w:tcBorders>
            <w:hideMark/>
          </w:tcPr>
          <w:p w:rsidR="00427AEC" w:rsidRPr="00FA4C33" w:rsidRDefault="00FA4C33">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usia</w:t>
            </w:r>
          </w:p>
        </w:tc>
        <w:tc>
          <w:tcPr>
            <w:tcW w:w="317" w:type="dxa"/>
            <w:tcBorders>
              <w:top w:val="nil"/>
              <w:left w:val="nil"/>
              <w:bottom w:val="nil"/>
              <w:right w:val="nil"/>
            </w:tcBorders>
          </w:tcPr>
          <w:p w:rsidR="00427AEC" w:rsidRPr="00FA4C33" w:rsidRDefault="00FA4C33">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w:t>
            </w:r>
          </w:p>
        </w:tc>
        <w:tc>
          <w:tcPr>
            <w:tcW w:w="4650" w:type="dxa"/>
            <w:tcBorders>
              <w:top w:val="nil"/>
              <w:left w:val="nil"/>
              <w:bottom w:val="nil"/>
              <w:right w:val="nil"/>
            </w:tcBorders>
            <w:hideMark/>
          </w:tcPr>
          <w:p w:rsidR="00427AEC" w:rsidRPr="00FA4C33" w:rsidRDefault="00FA4C33">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usia</w:t>
            </w:r>
          </w:p>
        </w:tc>
      </w:tr>
      <w:tr w:rsidR="00427AEC" w:rsidRPr="00FA4C33" w:rsidTr="00427AEC">
        <w:tc>
          <w:tcPr>
            <w:tcW w:w="1838" w:type="dxa"/>
            <w:tcBorders>
              <w:top w:val="nil"/>
              <w:left w:val="nil"/>
              <w:bottom w:val="nil"/>
              <w:right w:val="nil"/>
            </w:tcBorders>
          </w:tcPr>
          <w:p w:rsidR="00427AEC" w:rsidRPr="00FA4C33" w:rsidRDefault="00BA6EEA">
            <w:pPr>
              <w:pStyle w:val="ListParagraph1"/>
              <w:autoSpaceDE w:val="0"/>
              <w:autoSpaceDN w:val="0"/>
              <w:adjustRightInd w:val="0"/>
              <w:spacing w:after="0"/>
              <w:ind w:left="34"/>
              <w:jc w:val="both"/>
              <w:rPr>
                <w:rFonts w:ascii="Times New Roman" w:hAnsi="Times New Roman"/>
                <w:sz w:val="22"/>
                <w:szCs w:val="22"/>
              </w:rPr>
            </w:pPr>
            <m:oMathPara>
              <m:oMathParaPr>
                <m:jc m:val="left"/>
              </m:oMathParaPr>
              <m:oMath>
                <m:acc>
                  <m:accPr>
                    <m:ctrlPr>
                      <w:rPr>
                        <w:rFonts w:ascii="Cambria Math" w:hAnsi="Cambria Math"/>
                        <w:smallCaps/>
                        <w:szCs w:val="22"/>
                      </w:rPr>
                    </m:ctrlPr>
                  </m:accPr>
                  <m:e>
                    <m:r>
                      <w:rPr>
                        <w:rFonts w:ascii="Cambria Math" w:hAnsi="Cambria Math"/>
                        <w:smallCaps/>
                        <w:szCs w:val="22"/>
                      </w:rPr>
                      <m:t>konsultasi</m:t>
                    </m:r>
                  </m:e>
                </m:acc>
              </m:oMath>
            </m:oMathPara>
          </w:p>
        </w:tc>
        <w:tc>
          <w:tcPr>
            <w:tcW w:w="317"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w:t>
            </w:r>
          </w:p>
        </w:tc>
        <w:tc>
          <w:tcPr>
            <w:tcW w:w="4650"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i/>
                <w:iCs/>
                <w:sz w:val="22"/>
                <w:szCs w:val="22"/>
              </w:rPr>
            </w:pPr>
            <w:r w:rsidRPr="00FA4C33">
              <w:rPr>
                <w:rFonts w:ascii="Times New Roman" w:hAnsi="Times New Roman"/>
                <w:i/>
                <w:iCs/>
                <w:sz w:val="22"/>
                <w:szCs w:val="22"/>
              </w:rPr>
              <w:t>linear prediction of fitted value</w:t>
            </w:r>
          </w:p>
        </w:tc>
      </w:tr>
      <w:tr w:rsidR="00427AEC" w:rsidRPr="00FA4C33" w:rsidTr="00427AEC">
        <w:tc>
          <w:tcPr>
            <w:tcW w:w="1838" w:type="dxa"/>
            <w:tcBorders>
              <w:top w:val="nil"/>
              <w:left w:val="nil"/>
              <w:bottom w:val="nil"/>
              <w:right w:val="nil"/>
            </w:tcBorders>
            <w:hideMark/>
          </w:tcPr>
          <w:p w:rsidR="00427AEC" w:rsidRPr="00FA4C33" w:rsidRDefault="00FA4C33">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konsultasi</w:t>
            </w:r>
            <w:r w:rsidR="00427AEC" w:rsidRPr="00FA4C33">
              <w:rPr>
                <w:rFonts w:ascii="Times New Roman" w:hAnsi="Times New Roman"/>
                <w:sz w:val="22"/>
                <w:szCs w:val="22"/>
              </w:rPr>
              <w:t>_resid</w:t>
            </w:r>
          </w:p>
        </w:tc>
        <w:tc>
          <w:tcPr>
            <w:tcW w:w="317" w:type="dxa"/>
            <w:tcBorders>
              <w:top w:val="nil"/>
              <w:left w:val="nil"/>
              <w:bottom w:val="nil"/>
              <w:right w:val="nil"/>
            </w:tcBorders>
            <w:hideMark/>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w:t>
            </w:r>
          </w:p>
        </w:tc>
        <w:tc>
          <w:tcPr>
            <w:tcW w:w="4650" w:type="dxa"/>
            <w:tcBorders>
              <w:top w:val="nil"/>
              <w:left w:val="nil"/>
              <w:bottom w:val="nil"/>
              <w:right w:val="nil"/>
            </w:tcBorders>
          </w:tcPr>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r w:rsidRPr="00FA4C33">
              <w:rPr>
                <w:rFonts w:ascii="Times New Roman" w:hAnsi="Times New Roman"/>
                <w:sz w:val="22"/>
                <w:szCs w:val="22"/>
              </w:rPr>
              <w:t>residual dari persamaan</w:t>
            </w:r>
          </w:p>
          <w:p w:rsidR="00427AEC" w:rsidRPr="00FA4C33" w:rsidRDefault="00427AEC">
            <w:pPr>
              <w:pStyle w:val="ListParagraph1"/>
              <w:autoSpaceDE w:val="0"/>
              <w:autoSpaceDN w:val="0"/>
              <w:adjustRightInd w:val="0"/>
              <w:spacing w:after="0"/>
              <w:ind w:left="34"/>
              <w:jc w:val="both"/>
              <w:rPr>
                <w:rFonts w:ascii="Times New Roman" w:hAnsi="Times New Roman"/>
                <w:sz w:val="22"/>
                <w:szCs w:val="22"/>
              </w:rPr>
            </w:pPr>
          </w:p>
        </w:tc>
      </w:tr>
    </w:tbl>
    <w:p w:rsidR="002A559D" w:rsidRPr="00FA4C33" w:rsidRDefault="00427AEC" w:rsidP="00FA4C33">
      <w:pPr>
        <w:spacing w:line="360" w:lineRule="auto"/>
        <w:ind w:firstLine="709"/>
        <w:jc w:val="both"/>
        <w:rPr>
          <w:rFonts w:ascii="Calibri" w:hAnsi="Calibri" w:cs="Calibri"/>
          <w:sz w:val="22"/>
          <w:szCs w:val="22"/>
        </w:rPr>
      </w:pPr>
      <w:r>
        <w:rPr>
          <w:rFonts w:cs="Calibri"/>
        </w:rPr>
        <w:t xml:space="preserve"> </w:t>
      </w:r>
    </w:p>
    <w:p w:rsidR="00137686" w:rsidRPr="00BC17E5" w:rsidRDefault="00AE45A9" w:rsidP="00BC17E5">
      <w:pPr>
        <w:pStyle w:val="Heading1"/>
        <w:numPr>
          <w:ilvl w:val="0"/>
          <w:numId w:val="0"/>
        </w:numPr>
        <w:spacing w:before="0" w:after="0" w:line="360" w:lineRule="auto"/>
        <w:ind w:left="720" w:hanging="720"/>
        <w:rPr>
          <w:rFonts w:ascii="Times New Roman" w:hAnsi="Times New Roman" w:cs="Times New Roman"/>
          <w:sz w:val="24"/>
          <w:szCs w:val="24"/>
        </w:rPr>
      </w:pPr>
      <w:r w:rsidRPr="00AE45A9">
        <w:rPr>
          <w:rFonts w:ascii="Times New Roman" w:hAnsi="Times New Roman" w:cs="Times New Roman"/>
          <w:sz w:val="24"/>
          <w:szCs w:val="24"/>
        </w:rPr>
        <w:lastRenderedPageBreak/>
        <w:t xml:space="preserve">HASIL DAN PEMBAHASAN </w:t>
      </w:r>
      <w:r w:rsidR="006D55BB" w:rsidRPr="00AE45A9">
        <w:rPr>
          <w:rFonts w:ascii="Times New Roman" w:hAnsi="Times New Roman" w:cs="Times New Roman"/>
          <w:sz w:val="24"/>
          <w:szCs w:val="24"/>
        </w:rPr>
        <w:t xml:space="preserve"> </w:t>
      </w:r>
    </w:p>
    <w:p w:rsidR="00137686" w:rsidRPr="00BC17E5" w:rsidRDefault="00BC17E5" w:rsidP="00BC17E5">
      <w:pPr>
        <w:spacing w:line="360" w:lineRule="auto"/>
        <w:ind w:right="112" w:firstLine="540"/>
        <w:jc w:val="both"/>
        <w:rPr>
          <w:sz w:val="24"/>
          <w:szCs w:val="24"/>
        </w:rPr>
      </w:pPr>
      <w:r w:rsidRPr="00137686">
        <w:rPr>
          <w:sz w:val="24"/>
          <w:szCs w:val="24"/>
        </w:rPr>
        <w:t>Sampel ak</w:t>
      </w:r>
      <w:r>
        <w:rPr>
          <w:sz w:val="24"/>
          <w:szCs w:val="24"/>
        </w:rPr>
        <w:t xml:space="preserve">hir dari penelitian ini adalah 115 </w:t>
      </w:r>
      <w:r w:rsidRPr="00137686">
        <w:rPr>
          <w:sz w:val="24"/>
          <w:szCs w:val="24"/>
        </w:rPr>
        <w:t>responden</w:t>
      </w:r>
      <w:r>
        <w:rPr>
          <w:sz w:val="24"/>
          <w:szCs w:val="24"/>
        </w:rPr>
        <w:t xml:space="preserve"> dari jumlah kuesioner dibagikan sebnayak 200 dan response rate sebesarr 70% </w:t>
      </w:r>
      <w:r w:rsidRPr="00137686">
        <w:rPr>
          <w:sz w:val="24"/>
          <w:szCs w:val="24"/>
        </w:rPr>
        <w:t xml:space="preserve">. </w:t>
      </w:r>
      <w:r>
        <w:rPr>
          <w:sz w:val="24"/>
          <w:szCs w:val="24"/>
        </w:rPr>
        <w:t>Tabel 4 menunjukkan karakteristik responden. Sejumlah 60</w:t>
      </w:r>
      <w:r w:rsidRPr="00137686">
        <w:rPr>
          <w:sz w:val="24"/>
          <w:szCs w:val="24"/>
        </w:rPr>
        <w:t xml:space="preserve"> persen responden adalah pria. Lebih lanjut, sebagian besar responden berada pada kateogri usia 24 hingga </w:t>
      </w:r>
      <w:r>
        <w:rPr>
          <w:sz w:val="24"/>
          <w:szCs w:val="24"/>
        </w:rPr>
        <w:t xml:space="preserve">35 tahun. Berdasarkan status pernikahannya, jumlah responden yang sudah menikah dan tidak/belum </w:t>
      </w:r>
      <w:r w:rsidRPr="00137686">
        <w:rPr>
          <w:sz w:val="24"/>
          <w:szCs w:val="24"/>
        </w:rPr>
        <w:t>terikat</w:t>
      </w:r>
      <w:r>
        <w:rPr>
          <w:sz w:val="24"/>
          <w:szCs w:val="24"/>
        </w:rPr>
        <w:t xml:space="preserve"> dalam status pernikahan hampir berimbang</w:t>
      </w:r>
      <w:r w:rsidRPr="00137686">
        <w:rPr>
          <w:sz w:val="24"/>
          <w:szCs w:val="24"/>
        </w:rPr>
        <w:t xml:space="preserve">. </w:t>
      </w:r>
      <w:r>
        <w:rPr>
          <w:sz w:val="24"/>
          <w:szCs w:val="24"/>
        </w:rPr>
        <w:t>Sebanyak 94.78</w:t>
      </w:r>
      <w:r w:rsidRPr="00137686">
        <w:rPr>
          <w:sz w:val="24"/>
          <w:szCs w:val="24"/>
        </w:rPr>
        <w:t xml:space="preserve"> persen dari responden memiliki pendapatan</w:t>
      </w:r>
      <w:r>
        <w:rPr>
          <w:sz w:val="24"/>
          <w:szCs w:val="24"/>
        </w:rPr>
        <w:t xml:space="preserve"> yang</w:t>
      </w:r>
      <w:r w:rsidRPr="00137686">
        <w:rPr>
          <w:sz w:val="24"/>
          <w:szCs w:val="24"/>
        </w:rPr>
        <w:t xml:space="preserve"> lebih tinggi dari Upah Minimum Provinsi (UMP) dan Upah Minimum Kota/Kabupaten tertinggi di Indonesia, artinya </w:t>
      </w:r>
      <w:r w:rsidRPr="004D3F2B">
        <w:rPr>
          <w:sz w:val="24"/>
          <w:szCs w:val="24"/>
        </w:rPr>
        <w:t xml:space="preserve">responden seharusnya telah mampu untuk mencukupi kebutuhan dasar sehingga ia memiliki sisa dana yang dapat dapat dialokasikan pada tabungan atau investasi. Dengan variansi karakteristik responden yang sangat beragam tersebut maka dapat dilakukan justifikasi bahwa tidak terdapat bias </w:t>
      </w:r>
      <w:r>
        <w:rPr>
          <w:sz w:val="24"/>
          <w:szCs w:val="24"/>
        </w:rPr>
        <w:t>seleksi dalam pemilihan sampel.</w:t>
      </w:r>
    </w:p>
    <w:p w:rsidR="00137686" w:rsidRPr="00137686" w:rsidRDefault="00137686" w:rsidP="00137686">
      <w:pPr>
        <w:spacing w:line="360" w:lineRule="auto"/>
        <w:ind w:right="112"/>
        <w:jc w:val="center"/>
        <w:rPr>
          <w:b/>
          <w:bCs/>
          <w:sz w:val="24"/>
          <w:szCs w:val="24"/>
        </w:rPr>
      </w:pPr>
      <w:r w:rsidRPr="00137686">
        <w:rPr>
          <w:b/>
          <w:bCs/>
          <w:sz w:val="24"/>
          <w:szCs w:val="24"/>
        </w:rPr>
        <w:t>Tabel 4. Karakteristik responden</w:t>
      </w:r>
    </w:p>
    <w:tbl>
      <w:tblPr>
        <w:tblStyle w:val="TableGrid"/>
        <w:tblW w:w="6237" w:type="dxa"/>
        <w:jc w:val="center"/>
        <w:tblLayout w:type="fixed"/>
        <w:tblLook w:val="04A0" w:firstRow="1" w:lastRow="0" w:firstColumn="1" w:lastColumn="0" w:noHBand="0" w:noVBand="1"/>
      </w:tblPr>
      <w:tblGrid>
        <w:gridCol w:w="3828"/>
        <w:gridCol w:w="1134"/>
        <w:gridCol w:w="1275"/>
      </w:tblGrid>
      <w:tr w:rsidR="00137686" w:rsidRPr="00137686" w:rsidTr="00D6616D">
        <w:trPr>
          <w:jc w:val="center"/>
        </w:trPr>
        <w:tc>
          <w:tcPr>
            <w:tcW w:w="3828" w:type="dxa"/>
            <w:tcBorders>
              <w:top w:val="single" w:sz="4" w:space="0" w:color="000000"/>
              <w:left w:val="nil"/>
              <w:bottom w:val="single" w:sz="4" w:space="0" w:color="auto"/>
              <w:right w:val="nil"/>
            </w:tcBorders>
          </w:tcPr>
          <w:p w:rsidR="00137686" w:rsidRPr="00D6616D" w:rsidRDefault="00137686" w:rsidP="00D6616D">
            <w:pPr>
              <w:ind w:right="112" w:firstLine="540"/>
              <w:jc w:val="both"/>
            </w:pPr>
          </w:p>
        </w:tc>
        <w:tc>
          <w:tcPr>
            <w:tcW w:w="1134" w:type="dxa"/>
            <w:tcBorders>
              <w:top w:val="single" w:sz="4" w:space="0" w:color="000000"/>
              <w:left w:val="nil"/>
              <w:bottom w:val="single" w:sz="4" w:space="0" w:color="auto"/>
              <w:right w:val="nil"/>
            </w:tcBorders>
            <w:hideMark/>
          </w:tcPr>
          <w:p w:rsidR="00137686" w:rsidRPr="00D6616D" w:rsidRDefault="00137686" w:rsidP="00D6616D">
            <w:pPr>
              <w:ind w:right="112"/>
              <w:jc w:val="center"/>
            </w:pPr>
            <w:r w:rsidRPr="00D6616D">
              <w:t>Jumlah</w:t>
            </w:r>
          </w:p>
          <w:p w:rsidR="00137686" w:rsidRPr="00D6616D" w:rsidRDefault="00137686" w:rsidP="00D6616D">
            <w:pPr>
              <w:ind w:right="112"/>
              <w:jc w:val="center"/>
            </w:pPr>
            <w:r w:rsidRPr="00D6616D">
              <w:t>(orang)</w:t>
            </w:r>
          </w:p>
        </w:tc>
        <w:tc>
          <w:tcPr>
            <w:tcW w:w="1275" w:type="dxa"/>
            <w:tcBorders>
              <w:top w:val="single" w:sz="4" w:space="0" w:color="000000"/>
              <w:left w:val="nil"/>
              <w:bottom w:val="single" w:sz="4" w:space="0" w:color="auto"/>
              <w:right w:val="nil"/>
            </w:tcBorders>
            <w:hideMark/>
          </w:tcPr>
          <w:p w:rsidR="00137686" w:rsidRPr="00D6616D" w:rsidRDefault="00137686" w:rsidP="00D6616D">
            <w:pPr>
              <w:ind w:right="112" w:firstLine="30"/>
              <w:jc w:val="center"/>
            </w:pPr>
            <w:r w:rsidRPr="00D6616D">
              <w:t>Persentase</w:t>
            </w:r>
          </w:p>
          <w:p w:rsidR="00137686" w:rsidRPr="00D6616D" w:rsidRDefault="00137686" w:rsidP="00D6616D">
            <w:pPr>
              <w:ind w:right="112" w:firstLine="30"/>
              <w:jc w:val="center"/>
            </w:pPr>
            <w:r w:rsidRPr="00D6616D">
              <w:t>(%)</w:t>
            </w:r>
          </w:p>
        </w:tc>
      </w:tr>
      <w:tr w:rsidR="00137686" w:rsidRPr="00137686" w:rsidTr="00D6616D">
        <w:trPr>
          <w:jc w:val="center"/>
        </w:trPr>
        <w:tc>
          <w:tcPr>
            <w:tcW w:w="3828" w:type="dxa"/>
            <w:tcBorders>
              <w:top w:val="single" w:sz="4" w:space="0" w:color="auto"/>
              <w:left w:val="nil"/>
              <w:bottom w:val="nil"/>
              <w:right w:val="nil"/>
            </w:tcBorders>
            <w:hideMark/>
          </w:tcPr>
          <w:p w:rsidR="00137686" w:rsidRPr="00D6616D" w:rsidRDefault="00137686" w:rsidP="00D6616D">
            <w:pPr>
              <w:ind w:right="112"/>
              <w:jc w:val="both"/>
              <w:rPr>
                <w:b/>
              </w:rPr>
            </w:pPr>
            <w:r w:rsidRPr="00D6616D">
              <w:rPr>
                <w:b/>
              </w:rPr>
              <w:t>Gender</w:t>
            </w:r>
          </w:p>
          <w:p w:rsidR="00137686" w:rsidRPr="00D6616D" w:rsidRDefault="00137686" w:rsidP="00D6616D">
            <w:pPr>
              <w:numPr>
                <w:ilvl w:val="0"/>
                <w:numId w:val="16"/>
              </w:numPr>
              <w:ind w:right="112"/>
              <w:jc w:val="both"/>
            </w:pPr>
            <w:r w:rsidRPr="00D6616D">
              <w:t>Pria</w:t>
            </w:r>
          </w:p>
          <w:p w:rsidR="00137686" w:rsidRPr="00D6616D" w:rsidRDefault="00137686" w:rsidP="00D6616D">
            <w:pPr>
              <w:numPr>
                <w:ilvl w:val="0"/>
                <w:numId w:val="16"/>
              </w:numPr>
              <w:ind w:right="112"/>
              <w:jc w:val="both"/>
            </w:pPr>
            <w:r w:rsidRPr="00D6616D">
              <w:t>Wanita</w:t>
            </w:r>
          </w:p>
        </w:tc>
        <w:tc>
          <w:tcPr>
            <w:tcW w:w="1134" w:type="dxa"/>
            <w:tcBorders>
              <w:top w:val="single" w:sz="4" w:space="0" w:color="auto"/>
              <w:left w:val="nil"/>
              <w:bottom w:val="nil"/>
              <w:right w:val="nil"/>
            </w:tcBorders>
          </w:tcPr>
          <w:p w:rsidR="00137686" w:rsidRPr="00D6616D" w:rsidRDefault="00137686" w:rsidP="00D6616D">
            <w:pPr>
              <w:ind w:right="112"/>
              <w:jc w:val="center"/>
            </w:pPr>
          </w:p>
          <w:p w:rsidR="00137686" w:rsidRPr="00D6616D" w:rsidRDefault="00137686" w:rsidP="00D6616D">
            <w:pPr>
              <w:ind w:right="112"/>
              <w:jc w:val="center"/>
            </w:pPr>
            <w:r w:rsidRPr="00D6616D">
              <w:t>69</w:t>
            </w:r>
          </w:p>
          <w:p w:rsidR="00137686" w:rsidRPr="00D6616D" w:rsidRDefault="00137686" w:rsidP="00D6616D">
            <w:pPr>
              <w:ind w:right="112"/>
              <w:jc w:val="center"/>
            </w:pPr>
            <w:r w:rsidRPr="00D6616D">
              <w:t>46</w:t>
            </w:r>
          </w:p>
        </w:tc>
        <w:tc>
          <w:tcPr>
            <w:tcW w:w="1275" w:type="dxa"/>
            <w:tcBorders>
              <w:top w:val="single" w:sz="4" w:space="0" w:color="auto"/>
              <w:left w:val="nil"/>
              <w:bottom w:val="nil"/>
              <w:right w:val="nil"/>
            </w:tcBorders>
          </w:tcPr>
          <w:p w:rsidR="00137686" w:rsidRPr="00D6616D" w:rsidRDefault="00137686" w:rsidP="00D6616D">
            <w:pPr>
              <w:ind w:right="112" w:firstLine="27"/>
              <w:jc w:val="center"/>
            </w:pPr>
          </w:p>
          <w:p w:rsidR="00137686" w:rsidRPr="00D6616D" w:rsidRDefault="00137686" w:rsidP="00D6616D">
            <w:pPr>
              <w:ind w:right="112" w:firstLine="27"/>
              <w:jc w:val="center"/>
            </w:pPr>
            <w:r w:rsidRPr="00D6616D">
              <w:t>60.00</w:t>
            </w:r>
          </w:p>
          <w:p w:rsidR="00137686" w:rsidRPr="00D6616D" w:rsidRDefault="00137686" w:rsidP="00D6616D">
            <w:pPr>
              <w:ind w:right="112" w:firstLine="27"/>
              <w:jc w:val="center"/>
            </w:pPr>
            <w:r w:rsidRPr="00D6616D">
              <w:t>40.00</w:t>
            </w:r>
          </w:p>
        </w:tc>
      </w:tr>
      <w:tr w:rsidR="00137686" w:rsidRPr="00137686" w:rsidTr="00D6616D">
        <w:trPr>
          <w:jc w:val="center"/>
        </w:trPr>
        <w:tc>
          <w:tcPr>
            <w:tcW w:w="3828" w:type="dxa"/>
            <w:tcBorders>
              <w:top w:val="nil"/>
              <w:left w:val="nil"/>
              <w:bottom w:val="nil"/>
              <w:right w:val="nil"/>
            </w:tcBorders>
            <w:hideMark/>
          </w:tcPr>
          <w:p w:rsidR="00137686" w:rsidRPr="00D6616D" w:rsidRDefault="00137686" w:rsidP="00D6616D">
            <w:pPr>
              <w:ind w:right="112" w:firstLine="37"/>
              <w:jc w:val="both"/>
              <w:rPr>
                <w:b/>
              </w:rPr>
            </w:pPr>
            <w:r w:rsidRPr="00D6616D">
              <w:rPr>
                <w:b/>
              </w:rPr>
              <w:t>Status pernikahan</w:t>
            </w:r>
          </w:p>
          <w:p w:rsidR="00137686" w:rsidRPr="00D6616D" w:rsidRDefault="00137686" w:rsidP="00D6616D">
            <w:pPr>
              <w:numPr>
                <w:ilvl w:val="0"/>
                <w:numId w:val="17"/>
              </w:numPr>
              <w:ind w:right="112"/>
              <w:jc w:val="both"/>
            </w:pPr>
            <w:r w:rsidRPr="00D6616D">
              <w:t>Menikah</w:t>
            </w:r>
          </w:p>
          <w:p w:rsidR="00137686" w:rsidRPr="00D6616D" w:rsidRDefault="00137686" w:rsidP="00D6616D">
            <w:pPr>
              <w:numPr>
                <w:ilvl w:val="0"/>
                <w:numId w:val="17"/>
              </w:numPr>
              <w:ind w:right="112"/>
              <w:jc w:val="both"/>
            </w:pPr>
            <w:r w:rsidRPr="00D6616D">
              <w:t>Tidak/belum menikah</w:t>
            </w:r>
          </w:p>
        </w:tc>
        <w:tc>
          <w:tcPr>
            <w:tcW w:w="1134" w:type="dxa"/>
            <w:tcBorders>
              <w:top w:val="nil"/>
              <w:left w:val="nil"/>
              <w:bottom w:val="nil"/>
              <w:right w:val="nil"/>
            </w:tcBorders>
          </w:tcPr>
          <w:p w:rsidR="00137686" w:rsidRPr="00D6616D" w:rsidRDefault="00137686" w:rsidP="00D6616D">
            <w:pPr>
              <w:ind w:right="112"/>
              <w:jc w:val="center"/>
            </w:pPr>
          </w:p>
          <w:p w:rsidR="00137686" w:rsidRPr="00D6616D" w:rsidRDefault="00137686" w:rsidP="00D6616D">
            <w:pPr>
              <w:ind w:right="112"/>
              <w:jc w:val="center"/>
            </w:pPr>
            <w:r w:rsidRPr="00D6616D">
              <w:t>55</w:t>
            </w:r>
          </w:p>
          <w:p w:rsidR="00137686" w:rsidRPr="00D6616D" w:rsidRDefault="00137686" w:rsidP="00D6616D">
            <w:pPr>
              <w:ind w:right="112"/>
              <w:jc w:val="center"/>
            </w:pPr>
            <w:r w:rsidRPr="00D6616D">
              <w:t>60</w:t>
            </w:r>
          </w:p>
        </w:tc>
        <w:tc>
          <w:tcPr>
            <w:tcW w:w="1275" w:type="dxa"/>
            <w:tcBorders>
              <w:top w:val="nil"/>
              <w:left w:val="nil"/>
              <w:bottom w:val="nil"/>
              <w:right w:val="nil"/>
            </w:tcBorders>
          </w:tcPr>
          <w:p w:rsidR="00137686" w:rsidRPr="00D6616D" w:rsidRDefault="00137686" w:rsidP="00D6616D">
            <w:pPr>
              <w:ind w:right="112" w:firstLine="27"/>
              <w:jc w:val="center"/>
            </w:pPr>
          </w:p>
          <w:p w:rsidR="00137686" w:rsidRPr="00D6616D" w:rsidRDefault="00137686" w:rsidP="00D6616D">
            <w:pPr>
              <w:ind w:right="112" w:firstLine="27"/>
              <w:jc w:val="center"/>
            </w:pPr>
            <w:r w:rsidRPr="00D6616D">
              <w:t>47.83</w:t>
            </w:r>
          </w:p>
          <w:p w:rsidR="00137686" w:rsidRPr="00D6616D" w:rsidRDefault="00137686" w:rsidP="00D6616D">
            <w:pPr>
              <w:ind w:right="112" w:firstLine="27"/>
              <w:jc w:val="center"/>
            </w:pPr>
            <w:r w:rsidRPr="00D6616D">
              <w:t>52.17</w:t>
            </w:r>
          </w:p>
        </w:tc>
      </w:tr>
      <w:tr w:rsidR="00137686" w:rsidRPr="00137686" w:rsidTr="00D6616D">
        <w:trPr>
          <w:jc w:val="center"/>
        </w:trPr>
        <w:tc>
          <w:tcPr>
            <w:tcW w:w="3828" w:type="dxa"/>
            <w:tcBorders>
              <w:top w:val="nil"/>
              <w:left w:val="nil"/>
              <w:bottom w:val="nil"/>
              <w:right w:val="nil"/>
            </w:tcBorders>
            <w:hideMark/>
          </w:tcPr>
          <w:p w:rsidR="00137686" w:rsidRPr="00D6616D" w:rsidRDefault="00137686" w:rsidP="00D6616D">
            <w:pPr>
              <w:ind w:right="112" w:firstLine="37"/>
              <w:jc w:val="both"/>
              <w:rPr>
                <w:b/>
              </w:rPr>
            </w:pPr>
            <w:r w:rsidRPr="00D6616D">
              <w:rPr>
                <w:b/>
              </w:rPr>
              <w:t>Usia</w:t>
            </w:r>
          </w:p>
          <w:p w:rsidR="00137686" w:rsidRPr="00D6616D" w:rsidRDefault="00137686" w:rsidP="00D6616D">
            <w:pPr>
              <w:numPr>
                <w:ilvl w:val="0"/>
                <w:numId w:val="20"/>
              </w:numPr>
              <w:ind w:right="112"/>
              <w:jc w:val="both"/>
            </w:pPr>
            <w:r w:rsidRPr="00D6616D">
              <w:t>Kurang dari 24 tahun</w:t>
            </w:r>
          </w:p>
          <w:p w:rsidR="00137686" w:rsidRPr="00D6616D" w:rsidRDefault="00137686" w:rsidP="00D6616D">
            <w:pPr>
              <w:numPr>
                <w:ilvl w:val="0"/>
                <w:numId w:val="20"/>
              </w:numPr>
              <w:ind w:right="112"/>
              <w:jc w:val="both"/>
            </w:pPr>
            <w:r w:rsidRPr="00D6616D">
              <w:t>24 – 29 tahun</w:t>
            </w:r>
          </w:p>
          <w:p w:rsidR="00137686" w:rsidRPr="00D6616D" w:rsidRDefault="00137686" w:rsidP="00D6616D">
            <w:pPr>
              <w:numPr>
                <w:ilvl w:val="0"/>
                <w:numId w:val="20"/>
              </w:numPr>
              <w:ind w:right="112"/>
              <w:jc w:val="both"/>
            </w:pPr>
            <w:r w:rsidRPr="00D6616D">
              <w:t>30 – 35 tahun</w:t>
            </w:r>
          </w:p>
          <w:p w:rsidR="00137686" w:rsidRPr="00D6616D" w:rsidRDefault="00137686" w:rsidP="00D6616D">
            <w:pPr>
              <w:numPr>
                <w:ilvl w:val="0"/>
                <w:numId w:val="20"/>
              </w:numPr>
              <w:ind w:right="112"/>
              <w:jc w:val="both"/>
            </w:pPr>
            <w:r w:rsidRPr="00D6616D">
              <w:t>36 – 40 tahun</w:t>
            </w:r>
          </w:p>
          <w:p w:rsidR="00137686" w:rsidRPr="00D6616D" w:rsidRDefault="00137686" w:rsidP="00D6616D">
            <w:pPr>
              <w:numPr>
                <w:ilvl w:val="0"/>
                <w:numId w:val="20"/>
              </w:numPr>
              <w:ind w:right="112"/>
              <w:jc w:val="both"/>
            </w:pPr>
            <w:r w:rsidRPr="00D6616D">
              <w:t>&gt; 40 tahun</w:t>
            </w:r>
          </w:p>
        </w:tc>
        <w:tc>
          <w:tcPr>
            <w:tcW w:w="1134" w:type="dxa"/>
            <w:tcBorders>
              <w:top w:val="nil"/>
              <w:left w:val="nil"/>
              <w:bottom w:val="nil"/>
              <w:right w:val="nil"/>
            </w:tcBorders>
          </w:tcPr>
          <w:p w:rsidR="00137686" w:rsidRPr="00D6616D" w:rsidRDefault="00137686" w:rsidP="00D6616D">
            <w:pPr>
              <w:ind w:right="112"/>
              <w:jc w:val="center"/>
            </w:pPr>
          </w:p>
          <w:p w:rsidR="00137686" w:rsidRPr="00D6616D" w:rsidRDefault="00137686" w:rsidP="00D6616D">
            <w:pPr>
              <w:ind w:right="112"/>
              <w:jc w:val="center"/>
            </w:pPr>
            <w:r w:rsidRPr="00D6616D">
              <w:t>10</w:t>
            </w:r>
          </w:p>
          <w:p w:rsidR="00137686" w:rsidRPr="00D6616D" w:rsidRDefault="00137686" w:rsidP="00D6616D">
            <w:pPr>
              <w:ind w:right="112"/>
              <w:jc w:val="center"/>
            </w:pPr>
            <w:r w:rsidRPr="00D6616D">
              <w:t>51</w:t>
            </w:r>
          </w:p>
          <w:p w:rsidR="00137686" w:rsidRPr="00D6616D" w:rsidRDefault="00137686" w:rsidP="00D6616D">
            <w:pPr>
              <w:ind w:right="112"/>
              <w:jc w:val="center"/>
            </w:pPr>
            <w:r w:rsidRPr="00D6616D">
              <w:t>34</w:t>
            </w:r>
          </w:p>
          <w:p w:rsidR="00137686" w:rsidRPr="00D6616D" w:rsidRDefault="00137686" w:rsidP="00D6616D">
            <w:pPr>
              <w:ind w:right="112"/>
              <w:jc w:val="center"/>
            </w:pPr>
            <w:r w:rsidRPr="00D6616D">
              <w:t>9</w:t>
            </w:r>
          </w:p>
          <w:p w:rsidR="00137686" w:rsidRPr="00D6616D" w:rsidRDefault="00137686" w:rsidP="00D6616D">
            <w:pPr>
              <w:ind w:right="112"/>
              <w:jc w:val="center"/>
            </w:pPr>
            <w:r w:rsidRPr="00D6616D">
              <w:t>11</w:t>
            </w:r>
          </w:p>
        </w:tc>
        <w:tc>
          <w:tcPr>
            <w:tcW w:w="1275" w:type="dxa"/>
            <w:tcBorders>
              <w:top w:val="nil"/>
              <w:left w:val="nil"/>
              <w:bottom w:val="nil"/>
              <w:right w:val="nil"/>
            </w:tcBorders>
          </w:tcPr>
          <w:p w:rsidR="00137686" w:rsidRPr="00D6616D" w:rsidRDefault="00137686" w:rsidP="00D6616D">
            <w:pPr>
              <w:ind w:right="112" w:firstLine="27"/>
              <w:jc w:val="center"/>
            </w:pPr>
          </w:p>
          <w:p w:rsidR="00137686" w:rsidRPr="00D6616D" w:rsidRDefault="00D6616D" w:rsidP="00D6616D">
            <w:pPr>
              <w:ind w:right="112" w:firstLine="27"/>
              <w:jc w:val="center"/>
            </w:pPr>
            <w:r w:rsidRPr="00D6616D">
              <w:t>8.69</w:t>
            </w:r>
          </w:p>
          <w:p w:rsidR="00137686" w:rsidRPr="00D6616D" w:rsidRDefault="00D6616D" w:rsidP="00D6616D">
            <w:pPr>
              <w:ind w:right="112" w:firstLine="27"/>
              <w:jc w:val="center"/>
            </w:pPr>
            <w:r w:rsidRPr="00D6616D">
              <w:t>44.35</w:t>
            </w:r>
          </w:p>
          <w:p w:rsidR="00137686" w:rsidRPr="00D6616D" w:rsidRDefault="00D6616D" w:rsidP="00D6616D">
            <w:pPr>
              <w:ind w:right="112" w:firstLine="27"/>
              <w:jc w:val="center"/>
            </w:pPr>
            <w:r w:rsidRPr="00D6616D">
              <w:t>29.56</w:t>
            </w:r>
          </w:p>
          <w:p w:rsidR="00D6616D" w:rsidRPr="00D6616D" w:rsidRDefault="00D6616D" w:rsidP="00D6616D">
            <w:pPr>
              <w:ind w:right="112" w:firstLine="27"/>
              <w:jc w:val="center"/>
            </w:pPr>
            <w:r w:rsidRPr="00D6616D">
              <w:t>7.83</w:t>
            </w:r>
          </w:p>
          <w:p w:rsidR="00D6616D" w:rsidRPr="00D6616D" w:rsidRDefault="00D6616D" w:rsidP="00D6616D">
            <w:pPr>
              <w:ind w:right="112" w:firstLine="27"/>
              <w:jc w:val="center"/>
            </w:pPr>
            <w:r w:rsidRPr="00D6616D">
              <w:t>9.57</w:t>
            </w:r>
          </w:p>
        </w:tc>
      </w:tr>
      <w:tr w:rsidR="00137686" w:rsidRPr="00137686" w:rsidTr="00D6616D">
        <w:trPr>
          <w:jc w:val="center"/>
        </w:trPr>
        <w:tc>
          <w:tcPr>
            <w:tcW w:w="3828" w:type="dxa"/>
            <w:tcBorders>
              <w:top w:val="nil"/>
              <w:left w:val="nil"/>
              <w:bottom w:val="nil"/>
              <w:right w:val="nil"/>
            </w:tcBorders>
            <w:hideMark/>
          </w:tcPr>
          <w:p w:rsidR="00137686" w:rsidRPr="00D6616D" w:rsidRDefault="00137686" w:rsidP="00D6616D">
            <w:pPr>
              <w:ind w:right="112"/>
              <w:jc w:val="both"/>
              <w:rPr>
                <w:b/>
              </w:rPr>
            </w:pPr>
            <w:r w:rsidRPr="00D6616D">
              <w:rPr>
                <w:b/>
              </w:rPr>
              <w:t>Pendapatan</w:t>
            </w:r>
          </w:p>
          <w:p w:rsidR="00137686" w:rsidRPr="00D6616D" w:rsidRDefault="00137686" w:rsidP="00D6616D">
            <w:pPr>
              <w:numPr>
                <w:ilvl w:val="0"/>
                <w:numId w:val="21"/>
              </w:numPr>
              <w:ind w:right="112"/>
              <w:jc w:val="both"/>
            </w:pPr>
            <w:r w:rsidRPr="00D6616D">
              <w:t>Kurang dari Rp 5.000.000</w:t>
            </w:r>
          </w:p>
          <w:p w:rsidR="00137686" w:rsidRPr="00D6616D" w:rsidRDefault="00137686" w:rsidP="00D6616D">
            <w:pPr>
              <w:numPr>
                <w:ilvl w:val="0"/>
                <w:numId w:val="21"/>
              </w:numPr>
              <w:ind w:right="112"/>
              <w:jc w:val="both"/>
            </w:pPr>
            <w:r w:rsidRPr="00D6616D">
              <w:t>Rp 5.000.000 – Rp 10.000.000</w:t>
            </w:r>
          </w:p>
          <w:p w:rsidR="00137686" w:rsidRPr="00D6616D" w:rsidRDefault="00137686" w:rsidP="00D6616D">
            <w:pPr>
              <w:numPr>
                <w:ilvl w:val="0"/>
                <w:numId w:val="21"/>
              </w:numPr>
              <w:ind w:right="112"/>
              <w:jc w:val="both"/>
            </w:pPr>
            <w:r w:rsidRPr="00D6616D">
              <w:t>Rp 10.000.001 – Rp 15.000.000</w:t>
            </w:r>
          </w:p>
          <w:p w:rsidR="00137686" w:rsidRPr="00D6616D" w:rsidRDefault="00137686" w:rsidP="00D6616D">
            <w:pPr>
              <w:numPr>
                <w:ilvl w:val="0"/>
                <w:numId w:val="21"/>
              </w:numPr>
              <w:ind w:right="112"/>
              <w:jc w:val="both"/>
            </w:pPr>
            <w:r w:rsidRPr="00D6616D">
              <w:t>Rp 15.000.001 – Rp 20.000.000</w:t>
            </w:r>
          </w:p>
          <w:p w:rsidR="00137686" w:rsidRPr="00D6616D" w:rsidRDefault="00137686" w:rsidP="00D6616D">
            <w:pPr>
              <w:numPr>
                <w:ilvl w:val="0"/>
                <w:numId w:val="21"/>
              </w:numPr>
              <w:ind w:right="112"/>
              <w:jc w:val="both"/>
            </w:pPr>
            <w:r w:rsidRPr="00D6616D">
              <w:t>Lebih dari Rp 20.000.000</w:t>
            </w:r>
          </w:p>
        </w:tc>
        <w:tc>
          <w:tcPr>
            <w:tcW w:w="1134" w:type="dxa"/>
            <w:tcBorders>
              <w:top w:val="nil"/>
              <w:left w:val="nil"/>
              <w:bottom w:val="nil"/>
              <w:right w:val="nil"/>
            </w:tcBorders>
          </w:tcPr>
          <w:p w:rsidR="00137686" w:rsidRPr="00D6616D" w:rsidRDefault="00137686" w:rsidP="00D6616D">
            <w:pPr>
              <w:ind w:right="112"/>
              <w:jc w:val="center"/>
            </w:pPr>
          </w:p>
          <w:p w:rsidR="00137686" w:rsidRPr="00D6616D" w:rsidRDefault="00137686" w:rsidP="00D6616D">
            <w:pPr>
              <w:ind w:right="112"/>
              <w:jc w:val="center"/>
            </w:pPr>
            <w:r w:rsidRPr="00D6616D">
              <w:t>6</w:t>
            </w:r>
          </w:p>
          <w:p w:rsidR="00137686" w:rsidRPr="00D6616D" w:rsidRDefault="00137686" w:rsidP="00D6616D">
            <w:pPr>
              <w:ind w:right="112"/>
              <w:jc w:val="center"/>
            </w:pPr>
            <w:r w:rsidRPr="00D6616D">
              <w:t>2</w:t>
            </w:r>
            <w:r w:rsidR="00D6616D" w:rsidRPr="00D6616D">
              <w:t>8</w:t>
            </w:r>
          </w:p>
          <w:p w:rsidR="00137686" w:rsidRPr="00D6616D" w:rsidRDefault="00D6616D" w:rsidP="00D6616D">
            <w:pPr>
              <w:ind w:right="112"/>
              <w:jc w:val="center"/>
            </w:pPr>
            <w:r w:rsidRPr="00D6616D">
              <w:t>30</w:t>
            </w:r>
          </w:p>
          <w:p w:rsidR="00137686" w:rsidRPr="00D6616D" w:rsidRDefault="00D6616D" w:rsidP="00D6616D">
            <w:pPr>
              <w:ind w:right="112"/>
              <w:jc w:val="center"/>
            </w:pPr>
            <w:r w:rsidRPr="00D6616D">
              <w:t>24</w:t>
            </w:r>
          </w:p>
          <w:p w:rsidR="00137686" w:rsidRPr="00D6616D" w:rsidRDefault="00D6616D" w:rsidP="00D6616D">
            <w:pPr>
              <w:ind w:right="112"/>
              <w:jc w:val="center"/>
            </w:pPr>
            <w:r w:rsidRPr="00D6616D">
              <w:t>27</w:t>
            </w:r>
          </w:p>
        </w:tc>
        <w:tc>
          <w:tcPr>
            <w:tcW w:w="1275" w:type="dxa"/>
            <w:tcBorders>
              <w:top w:val="nil"/>
              <w:left w:val="nil"/>
              <w:bottom w:val="nil"/>
              <w:right w:val="nil"/>
            </w:tcBorders>
          </w:tcPr>
          <w:p w:rsidR="00137686" w:rsidRPr="00D6616D" w:rsidRDefault="00137686" w:rsidP="00D6616D">
            <w:pPr>
              <w:ind w:right="112" w:firstLine="27"/>
              <w:jc w:val="center"/>
            </w:pPr>
          </w:p>
          <w:p w:rsidR="00137686" w:rsidRPr="00D6616D" w:rsidRDefault="00D6616D" w:rsidP="00D6616D">
            <w:pPr>
              <w:ind w:right="112" w:firstLine="27"/>
              <w:jc w:val="center"/>
            </w:pPr>
            <w:r w:rsidRPr="00D6616D">
              <w:t>5.22</w:t>
            </w:r>
          </w:p>
          <w:p w:rsidR="00137686" w:rsidRPr="00D6616D" w:rsidRDefault="00D6616D" w:rsidP="00D6616D">
            <w:pPr>
              <w:ind w:right="112" w:firstLine="27"/>
              <w:jc w:val="center"/>
            </w:pPr>
            <w:r w:rsidRPr="00D6616D">
              <w:t>24.3</w:t>
            </w:r>
            <w:r w:rsidR="00137686" w:rsidRPr="00D6616D">
              <w:t>5</w:t>
            </w:r>
          </w:p>
          <w:p w:rsidR="00137686" w:rsidRPr="00D6616D" w:rsidRDefault="00D6616D" w:rsidP="00D6616D">
            <w:pPr>
              <w:ind w:right="112" w:firstLine="27"/>
              <w:jc w:val="center"/>
            </w:pPr>
            <w:r w:rsidRPr="00D6616D">
              <w:t>26.09</w:t>
            </w:r>
          </w:p>
          <w:p w:rsidR="00137686" w:rsidRPr="00D6616D" w:rsidRDefault="00D6616D" w:rsidP="00D6616D">
            <w:pPr>
              <w:ind w:right="112" w:firstLine="27"/>
              <w:jc w:val="center"/>
            </w:pPr>
            <w:r w:rsidRPr="00D6616D">
              <w:t>20.87</w:t>
            </w:r>
          </w:p>
          <w:p w:rsidR="00137686" w:rsidRPr="00D6616D" w:rsidRDefault="00D6616D" w:rsidP="00D6616D">
            <w:pPr>
              <w:ind w:right="112" w:firstLine="27"/>
              <w:jc w:val="center"/>
            </w:pPr>
            <w:r w:rsidRPr="00D6616D">
              <w:t>23.47</w:t>
            </w:r>
          </w:p>
        </w:tc>
      </w:tr>
      <w:tr w:rsidR="00137686" w:rsidRPr="00137686" w:rsidTr="00D6616D">
        <w:trPr>
          <w:jc w:val="center"/>
        </w:trPr>
        <w:tc>
          <w:tcPr>
            <w:tcW w:w="3828" w:type="dxa"/>
            <w:tcBorders>
              <w:top w:val="single" w:sz="4" w:space="0" w:color="auto"/>
              <w:left w:val="nil"/>
              <w:bottom w:val="single" w:sz="4" w:space="0" w:color="auto"/>
              <w:right w:val="nil"/>
            </w:tcBorders>
            <w:hideMark/>
          </w:tcPr>
          <w:p w:rsidR="00137686" w:rsidRPr="00D6616D" w:rsidRDefault="00137686" w:rsidP="00D6616D">
            <w:pPr>
              <w:ind w:right="112" w:firstLine="540"/>
              <w:jc w:val="both"/>
            </w:pPr>
            <w:r w:rsidRPr="00D6616D">
              <w:t>Total (N)</w:t>
            </w:r>
          </w:p>
        </w:tc>
        <w:tc>
          <w:tcPr>
            <w:tcW w:w="1134" w:type="dxa"/>
            <w:tcBorders>
              <w:top w:val="single" w:sz="4" w:space="0" w:color="auto"/>
              <w:left w:val="nil"/>
              <w:bottom w:val="single" w:sz="4" w:space="0" w:color="auto"/>
              <w:right w:val="nil"/>
            </w:tcBorders>
            <w:hideMark/>
          </w:tcPr>
          <w:p w:rsidR="00137686" w:rsidRPr="00D6616D" w:rsidRDefault="00D6616D" w:rsidP="00D6616D">
            <w:pPr>
              <w:ind w:right="112"/>
              <w:jc w:val="center"/>
            </w:pPr>
            <w:r w:rsidRPr="00D6616D">
              <w:t>115</w:t>
            </w:r>
          </w:p>
        </w:tc>
        <w:tc>
          <w:tcPr>
            <w:tcW w:w="1275" w:type="dxa"/>
            <w:tcBorders>
              <w:top w:val="single" w:sz="4" w:space="0" w:color="auto"/>
              <w:left w:val="nil"/>
              <w:bottom w:val="single" w:sz="4" w:space="0" w:color="auto"/>
              <w:right w:val="nil"/>
            </w:tcBorders>
            <w:hideMark/>
          </w:tcPr>
          <w:p w:rsidR="00137686" w:rsidRPr="00D6616D" w:rsidRDefault="00D6616D" w:rsidP="00D6616D">
            <w:pPr>
              <w:ind w:right="112" w:firstLine="27"/>
              <w:jc w:val="center"/>
            </w:pPr>
            <w:r w:rsidRPr="00D6616D">
              <w:t>100</w:t>
            </w:r>
          </w:p>
        </w:tc>
      </w:tr>
    </w:tbl>
    <w:p w:rsidR="00137686" w:rsidRPr="00BC17E5" w:rsidRDefault="00583442" w:rsidP="00BC17E5">
      <w:pPr>
        <w:spacing w:line="360" w:lineRule="auto"/>
        <w:ind w:left="851" w:right="113"/>
        <w:jc w:val="both"/>
        <w:rPr>
          <w:szCs w:val="24"/>
        </w:rPr>
      </w:pPr>
      <w:r w:rsidRPr="00583442">
        <w:rPr>
          <w:szCs w:val="24"/>
        </w:rPr>
        <w:t>Sumber: data primer</w:t>
      </w:r>
      <w:r>
        <w:rPr>
          <w:szCs w:val="24"/>
        </w:rPr>
        <w:t xml:space="preserve"> yang diolah</w:t>
      </w:r>
      <w:r w:rsidRPr="00583442">
        <w:rPr>
          <w:szCs w:val="24"/>
        </w:rPr>
        <w:t xml:space="preserve"> (2020)</w:t>
      </w:r>
    </w:p>
    <w:p w:rsidR="006C01B2" w:rsidRPr="004D3F2B" w:rsidRDefault="006C01B2" w:rsidP="0045137D">
      <w:pPr>
        <w:spacing w:line="360" w:lineRule="auto"/>
        <w:ind w:right="112" w:firstLine="540"/>
        <w:jc w:val="both"/>
        <w:rPr>
          <w:rFonts w:cs="Calibri"/>
          <w:sz w:val="24"/>
          <w:szCs w:val="24"/>
        </w:rPr>
      </w:pPr>
      <w:r w:rsidRPr="004D3F2B">
        <w:rPr>
          <w:sz w:val="24"/>
          <w:szCs w:val="24"/>
        </w:rPr>
        <w:t>Pengujian validitas dan reliabilitas pada pertanyaan literasi keuangan dilakukan dengan menggunakan</w:t>
      </w:r>
      <w:r w:rsidRPr="004D3F2B">
        <w:rPr>
          <w:rFonts w:cs="Calibri"/>
          <w:sz w:val="24"/>
          <w:szCs w:val="24"/>
        </w:rPr>
        <w:t xml:space="preserve"> Pearson’s Correlation dan Kuder-Richardson 20 (KR-20).</w:t>
      </w:r>
      <w:r w:rsidR="0045137D" w:rsidRPr="004D3F2B">
        <w:rPr>
          <w:rFonts w:cs="Calibri"/>
          <w:sz w:val="24"/>
          <w:szCs w:val="24"/>
        </w:rPr>
        <w:t xml:space="preserve"> Pengujian reliabilitas menggunakan KR-20 dilakukan karena respon </w:t>
      </w:r>
      <w:r w:rsidR="0045137D" w:rsidRPr="004D3F2B">
        <w:rPr>
          <w:rFonts w:cs="Calibri"/>
          <w:sz w:val="24"/>
          <w:szCs w:val="24"/>
        </w:rPr>
        <w:lastRenderedPageBreak/>
        <w:t xml:space="preserve">untuk masing-masing item bersifat biner sehingga tidak memungkinkan diuji menggunakan  </w:t>
      </w:r>
      <w:r w:rsidR="0045137D" w:rsidRPr="004D3F2B">
        <w:rPr>
          <w:rFonts w:cs="Calibri"/>
          <w:i/>
          <w:iCs/>
          <w:sz w:val="24"/>
          <w:szCs w:val="24"/>
        </w:rPr>
        <w:t>cronbach’s alpha</w:t>
      </w:r>
      <w:r w:rsidR="0045137D" w:rsidRPr="004D3F2B">
        <w:rPr>
          <w:rFonts w:cs="Calibri"/>
          <w:sz w:val="24"/>
          <w:szCs w:val="24"/>
        </w:rPr>
        <w:t>. Dalam bagian lain yang tidak terpublikasi, item-item pertanyaan terbukti mampu mengukur variabel literasi keuangan serta konsisten sehingga isntrumen tersebut telah layak digunakan.</w:t>
      </w:r>
    </w:p>
    <w:p w:rsidR="0045137D" w:rsidRPr="00137686" w:rsidRDefault="0045137D" w:rsidP="0045137D">
      <w:pPr>
        <w:spacing w:line="360" w:lineRule="auto"/>
        <w:ind w:right="112"/>
        <w:jc w:val="center"/>
        <w:rPr>
          <w:b/>
          <w:bCs/>
          <w:sz w:val="24"/>
          <w:szCs w:val="24"/>
        </w:rPr>
      </w:pPr>
      <w:r w:rsidRPr="00137686">
        <w:rPr>
          <w:b/>
          <w:bCs/>
          <w:sz w:val="24"/>
          <w:szCs w:val="24"/>
        </w:rPr>
        <w:t xml:space="preserve">Tabel </w:t>
      </w:r>
      <w:r>
        <w:rPr>
          <w:b/>
          <w:bCs/>
          <w:sz w:val="24"/>
          <w:szCs w:val="24"/>
        </w:rPr>
        <w:t>5</w:t>
      </w:r>
      <w:r w:rsidRPr="00137686">
        <w:rPr>
          <w:b/>
          <w:bCs/>
          <w:sz w:val="24"/>
          <w:szCs w:val="24"/>
        </w:rPr>
        <w:t xml:space="preserve">. </w:t>
      </w:r>
      <w:r w:rsidR="00A462FD">
        <w:rPr>
          <w:b/>
          <w:bCs/>
          <w:sz w:val="24"/>
          <w:szCs w:val="24"/>
        </w:rPr>
        <w:t>Pengukuran literasi</w:t>
      </w:r>
      <w:r>
        <w:rPr>
          <w:b/>
          <w:bCs/>
          <w:sz w:val="24"/>
          <w:szCs w:val="24"/>
        </w:rPr>
        <w:t xml:space="preserve"> keuangan</w:t>
      </w:r>
    </w:p>
    <w:tbl>
      <w:tblPr>
        <w:tblStyle w:val="TableGrid"/>
        <w:tblW w:w="6521" w:type="dxa"/>
        <w:jc w:val="center"/>
        <w:tblLayout w:type="fixed"/>
        <w:tblLook w:val="04A0" w:firstRow="1" w:lastRow="0" w:firstColumn="1" w:lastColumn="0" w:noHBand="0" w:noVBand="1"/>
      </w:tblPr>
      <w:tblGrid>
        <w:gridCol w:w="4112"/>
        <w:gridCol w:w="1134"/>
        <w:gridCol w:w="1275"/>
      </w:tblGrid>
      <w:tr w:rsidR="0045137D" w:rsidRPr="00137686" w:rsidTr="00C7499F">
        <w:trPr>
          <w:jc w:val="center"/>
        </w:trPr>
        <w:tc>
          <w:tcPr>
            <w:tcW w:w="4112" w:type="dxa"/>
            <w:tcBorders>
              <w:top w:val="single" w:sz="4" w:space="0" w:color="000000"/>
              <w:left w:val="nil"/>
              <w:bottom w:val="single" w:sz="4" w:space="0" w:color="auto"/>
              <w:right w:val="nil"/>
            </w:tcBorders>
          </w:tcPr>
          <w:p w:rsidR="0045137D" w:rsidRPr="00D6616D" w:rsidRDefault="0045137D" w:rsidP="00A462FD">
            <w:pPr>
              <w:ind w:right="112" w:firstLine="540"/>
              <w:jc w:val="both"/>
            </w:pPr>
          </w:p>
        </w:tc>
        <w:tc>
          <w:tcPr>
            <w:tcW w:w="1134" w:type="dxa"/>
            <w:tcBorders>
              <w:top w:val="single" w:sz="4" w:space="0" w:color="000000"/>
              <w:left w:val="nil"/>
              <w:bottom w:val="single" w:sz="4" w:space="0" w:color="auto"/>
              <w:right w:val="nil"/>
            </w:tcBorders>
            <w:hideMark/>
          </w:tcPr>
          <w:p w:rsidR="0045137D" w:rsidRPr="00D6616D" w:rsidRDefault="0045137D" w:rsidP="00A462FD">
            <w:pPr>
              <w:ind w:right="112"/>
              <w:jc w:val="center"/>
            </w:pPr>
            <w:r w:rsidRPr="00D6616D">
              <w:t>Jumlah</w:t>
            </w:r>
          </w:p>
          <w:p w:rsidR="0045137D" w:rsidRPr="00D6616D" w:rsidRDefault="0045137D" w:rsidP="00A462FD">
            <w:pPr>
              <w:ind w:right="112"/>
              <w:jc w:val="center"/>
            </w:pPr>
            <w:r w:rsidRPr="00D6616D">
              <w:t>(orang)</w:t>
            </w:r>
          </w:p>
        </w:tc>
        <w:tc>
          <w:tcPr>
            <w:tcW w:w="1275" w:type="dxa"/>
            <w:tcBorders>
              <w:top w:val="single" w:sz="4" w:space="0" w:color="000000"/>
              <w:left w:val="nil"/>
              <w:bottom w:val="single" w:sz="4" w:space="0" w:color="auto"/>
              <w:right w:val="nil"/>
            </w:tcBorders>
            <w:hideMark/>
          </w:tcPr>
          <w:p w:rsidR="0045137D" w:rsidRPr="00D6616D" w:rsidRDefault="0045137D" w:rsidP="00A462FD">
            <w:pPr>
              <w:ind w:right="112" w:firstLine="30"/>
              <w:jc w:val="center"/>
            </w:pPr>
            <w:r w:rsidRPr="00D6616D">
              <w:t>Persentase</w:t>
            </w:r>
          </w:p>
          <w:p w:rsidR="0045137D" w:rsidRPr="00D6616D" w:rsidRDefault="0045137D" w:rsidP="00A462FD">
            <w:pPr>
              <w:ind w:right="112" w:firstLine="30"/>
              <w:jc w:val="center"/>
            </w:pPr>
            <w:r w:rsidRPr="00D6616D">
              <w:t>(%)</w:t>
            </w:r>
          </w:p>
        </w:tc>
      </w:tr>
      <w:tr w:rsidR="00C7499F" w:rsidRPr="00137686" w:rsidTr="00C7499F">
        <w:trPr>
          <w:jc w:val="center"/>
        </w:trPr>
        <w:tc>
          <w:tcPr>
            <w:tcW w:w="4112" w:type="dxa"/>
            <w:tcBorders>
              <w:top w:val="single" w:sz="4" w:space="0" w:color="auto"/>
              <w:left w:val="nil"/>
              <w:bottom w:val="nil"/>
              <w:right w:val="nil"/>
            </w:tcBorders>
            <w:hideMark/>
          </w:tcPr>
          <w:p w:rsidR="0045137D" w:rsidRPr="00D6616D" w:rsidRDefault="00C7499F" w:rsidP="00A462FD">
            <w:pPr>
              <w:ind w:right="112"/>
              <w:jc w:val="both"/>
              <w:rPr>
                <w:b/>
              </w:rPr>
            </w:pPr>
            <w:r>
              <w:rPr>
                <w:b/>
              </w:rPr>
              <w:t xml:space="preserve">Panel A. Item pertanyaan </w:t>
            </w:r>
            <w:r w:rsidR="0045137D">
              <w:rPr>
                <w:b/>
              </w:rPr>
              <w:t>iterasi keuangan</w:t>
            </w:r>
          </w:p>
          <w:p w:rsidR="0045137D" w:rsidRPr="00D6616D" w:rsidRDefault="004D3F2B" w:rsidP="0045137D">
            <w:pPr>
              <w:numPr>
                <w:ilvl w:val="0"/>
                <w:numId w:val="23"/>
              </w:numPr>
              <w:ind w:right="112"/>
              <w:jc w:val="both"/>
            </w:pPr>
            <w:r>
              <w:t>Suku bunga majemuk</w:t>
            </w:r>
          </w:p>
          <w:p w:rsidR="0045137D" w:rsidRDefault="0045137D" w:rsidP="0045137D">
            <w:pPr>
              <w:numPr>
                <w:ilvl w:val="0"/>
                <w:numId w:val="23"/>
              </w:numPr>
              <w:ind w:right="112"/>
              <w:jc w:val="both"/>
            </w:pPr>
            <w:r>
              <w:t>Inflasi</w:t>
            </w:r>
          </w:p>
          <w:p w:rsidR="0045137D" w:rsidRDefault="0045137D" w:rsidP="0045137D">
            <w:pPr>
              <w:numPr>
                <w:ilvl w:val="0"/>
                <w:numId w:val="23"/>
              </w:numPr>
              <w:ind w:right="112"/>
              <w:jc w:val="both"/>
            </w:pPr>
            <w:r>
              <w:t>Diversifikasi risiko</w:t>
            </w:r>
          </w:p>
          <w:p w:rsidR="0045137D" w:rsidRDefault="0045137D" w:rsidP="0045137D">
            <w:pPr>
              <w:numPr>
                <w:ilvl w:val="0"/>
                <w:numId w:val="23"/>
              </w:numPr>
              <w:ind w:right="112"/>
              <w:jc w:val="both"/>
            </w:pPr>
            <w:r>
              <w:t>Hutang yang efektif</w:t>
            </w:r>
          </w:p>
          <w:p w:rsidR="0045137D" w:rsidRPr="00D6616D" w:rsidRDefault="0045137D" w:rsidP="0045137D">
            <w:pPr>
              <w:numPr>
                <w:ilvl w:val="0"/>
                <w:numId w:val="23"/>
              </w:numPr>
              <w:ind w:right="112"/>
              <w:jc w:val="both"/>
            </w:pPr>
            <w:r>
              <w:t>Investasi berpendapatan tetap</w:t>
            </w:r>
          </w:p>
        </w:tc>
        <w:tc>
          <w:tcPr>
            <w:tcW w:w="1134" w:type="dxa"/>
            <w:tcBorders>
              <w:top w:val="single" w:sz="4" w:space="0" w:color="auto"/>
              <w:left w:val="nil"/>
              <w:bottom w:val="nil"/>
              <w:right w:val="nil"/>
            </w:tcBorders>
          </w:tcPr>
          <w:p w:rsidR="0045137D" w:rsidRPr="00D6616D" w:rsidRDefault="0045137D" w:rsidP="00A462FD">
            <w:pPr>
              <w:ind w:right="112"/>
              <w:jc w:val="center"/>
            </w:pPr>
          </w:p>
          <w:p w:rsidR="0045137D" w:rsidRPr="00D6616D" w:rsidRDefault="00C7499F" w:rsidP="00A462FD">
            <w:pPr>
              <w:ind w:right="112"/>
              <w:jc w:val="center"/>
            </w:pPr>
            <w:r>
              <w:t>100</w:t>
            </w:r>
          </w:p>
          <w:p w:rsidR="0045137D" w:rsidRDefault="00C7499F" w:rsidP="00A462FD">
            <w:pPr>
              <w:ind w:right="112"/>
              <w:jc w:val="center"/>
            </w:pPr>
            <w:r>
              <w:t>75</w:t>
            </w:r>
          </w:p>
          <w:p w:rsidR="0045137D" w:rsidRDefault="00C7499F" w:rsidP="00A462FD">
            <w:pPr>
              <w:ind w:right="112"/>
              <w:jc w:val="center"/>
            </w:pPr>
            <w:r>
              <w:t>61</w:t>
            </w:r>
          </w:p>
          <w:p w:rsidR="0045137D" w:rsidRDefault="00C7499F" w:rsidP="00A462FD">
            <w:pPr>
              <w:ind w:right="112"/>
              <w:jc w:val="center"/>
            </w:pPr>
            <w:r>
              <w:t>72</w:t>
            </w:r>
          </w:p>
          <w:p w:rsidR="0045137D" w:rsidRPr="00D6616D" w:rsidRDefault="00C7499F" w:rsidP="00A462FD">
            <w:pPr>
              <w:ind w:right="112"/>
              <w:jc w:val="center"/>
            </w:pPr>
            <w:r>
              <w:t>37</w:t>
            </w:r>
          </w:p>
        </w:tc>
        <w:tc>
          <w:tcPr>
            <w:tcW w:w="1275" w:type="dxa"/>
            <w:tcBorders>
              <w:top w:val="single" w:sz="4" w:space="0" w:color="auto"/>
              <w:left w:val="nil"/>
              <w:bottom w:val="nil"/>
              <w:right w:val="nil"/>
            </w:tcBorders>
          </w:tcPr>
          <w:p w:rsidR="0045137D" w:rsidRPr="00D6616D" w:rsidRDefault="0045137D" w:rsidP="00A462FD">
            <w:pPr>
              <w:ind w:right="112" w:firstLine="27"/>
              <w:jc w:val="center"/>
            </w:pPr>
          </w:p>
          <w:p w:rsidR="0045137D" w:rsidRPr="00D6616D" w:rsidRDefault="00C7499F" w:rsidP="00A462FD">
            <w:pPr>
              <w:ind w:right="112" w:firstLine="27"/>
              <w:jc w:val="center"/>
            </w:pPr>
            <w:r>
              <w:t>86.95</w:t>
            </w:r>
          </w:p>
          <w:p w:rsidR="0045137D" w:rsidRDefault="00C7499F" w:rsidP="00A462FD">
            <w:pPr>
              <w:ind w:right="112" w:firstLine="27"/>
              <w:jc w:val="center"/>
            </w:pPr>
            <w:r>
              <w:t>65.21</w:t>
            </w:r>
          </w:p>
          <w:p w:rsidR="00C7499F" w:rsidRDefault="004D3F2B" w:rsidP="00A462FD">
            <w:pPr>
              <w:ind w:right="112" w:firstLine="27"/>
              <w:jc w:val="center"/>
            </w:pPr>
            <w:r>
              <w:t>53.04</w:t>
            </w:r>
          </w:p>
          <w:p w:rsidR="00C7499F" w:rsidRDefault="004D3F2B" w:rsidP="00A462FD">
            <w:pPr>
              <w:ind w:right="112" w:firstLine="27"/>
              <w:jc w:val="center"/>
            </w:pPr>
            <w:r>
              <w:t>62.60</w:t>
            </w:r>
          </w:p>
          <w:p w:rsidR="00C7499F" w:rsidRPr="00D6616D" w:rsidRDefault="00C7499F" w:rsidP="00A462FD">
            <w:pPr>
              <w:ind w:right="112" w:firstLine="27"/>
              <w:jc w:val="center"/>
            </w:pPr>
            <w:r>
              <w:t>32.17</w:t>
            </w:r>
          </w:p>
        </w:tc>
      </w:tr>
      <w:tr w:rsidR="00C7499F" w:rsidRPr="00137686" w:rsidTr="00A462FD">
        <w:trPr>
          <w:jc w:val="center"/>
        </w:trPr>
        <w:tc>
          <w:tcPr>
            <w:tcW w:w="4112" w:type="dxa"/>
            <w:tcBorders>
              <w:top w:val="nil"/>
              <w:left w:val="nil"/>
              <w:bottom w:val="nil"/>
              <w:right w:val="nil"/>
            </w:tcBorders>
          </w:tcPr>
          <w:p w:rsidR="00C7499F" w:rsidRDefault="00C7499F" w:rsidP="00A462FD">
            <w:pPr>
              <w:ind w:right="112"/>
              <w:jc w:val="both"/>
              <w:rPr>
                <w:b/>
              </w:rPr>
            </w:pPr>
            <w:r>
              <w:rPr>
                <w:b/>
              </w:rPr>
              <w:t>Panel B. Jumlah jawaban benar</w:t>
            </w:r>
          </w:p>
          <w:p w:rsidR="00C7499F" w:rsidRPr="00C7499F" w:rsidRDefault="00C7499F" w:rsidP="00C7499F">
            <w:pPr>
              <w:pStyle w:val="ListParagraph"/>
              <w:numPr>
                <w:ilvl w:val="0"/>
                <w:numId w:val="24"/>
              </w:numPr>
              <w:ind w:right="112"/>
              <w:jc w:val="both"/>
            </w:pPr>
            <w:r w:rsidRPr="00C7499F">
              <w:t>Lima jawaban benar</w:t>
            </w:r>
          </w:p>
          <w:p w:rsidR="00C7499F" w:rsidRPr="00C7499F" w:rsidRDefault="00C7499F" w:rsidP="00C7499F">
            <w:pPr>
              <w:pStyle w:val="ListParagraph"/>
              <w:numPr>
                <w:ilvl w:val="0"/>
                <w:numId w:val="24"/>
              </w:numPr>
              <w:ind w:right="112"/>
              <w:jc w:val="both"/>
            </w:pPr>
            <w:r w:rsidRPr="00C7499F">
              <w:t>Empat jawaban benar</w:t>
            </w:r>
          </w:p>
          <w:p w:rsidR="00C7499F" w:rsidRPr="00C7499F" w:rsidRDefault="00C7499F" w:rsidP="00C7499F">
            <w:pPr>
              <w:pStyle w:val="ListParagraph"/>
              <w:numPr>
                <w:ilvl w:val="0"/>
                <w:numId w:val="24"/>
              </w:numPr>
              <w:ind w:right="112"/>
              <w:jc w:val="both"/>
            </w:pPr>
            <w:r w:rsidRPr="00C7499F">
              <w:t>Tiga jawaban benar</w:t>
            </w:r>
          </w:p>
          <w:p w:rsidR="00C7499F" w:rsidRPr="00C7499F" w:rsidRDefault="00C7499F" w:rsidP="00C7499F">
            <w:pPr>
              <w:pStyle w:val="ListParagraph"/>
              <w:numPr>
                <w:ilvl w:val="0"/>
                <w:numId w:val="24"/>
              </w:numPr>
              <w:ind w:right="112"/>
              <w:jc w:val="both"/>
            </w:pPr>
            <w:r w:rsidRPr="00C7499F">
              <w:t>Dua jawaban benar</w:t>
            </w:r>
          </w:p>
          <w:p w:rsidR="00C7499F" w:rsidRPr="00C7499F" w:rsidRDefault="00C7499F" w:rsidP="00C7499F">
            <w:pPr>
              <w:pStyle w:val="ListParagraph"/>
              <w:numPr>
                <w:ilvl w:val="0"/>
                <w:numId w:val="24"/>
              </w:numPr>
              <w:ind w:right="112"/>
              <w:jc w:val="both"/>
            </w:pPr>
            <w:r w:rsidRPr="00C7499F">
              <w:t>Satu jawaban benar</w:t>
            </w:r>
          </w:p>
          <w:p w:rsidR="00C7499F" w:rsidRPr="00C7499F" w:rsidRDefault="00C7499F" w:rsidP="00C7499F">
            <w:pPr>
              <w:pStyle w:val="ListParagraph"/>
              <w:numPr>
                <w:ilvl w:val="0"/>
                <w:numId w:val="24"/>
              </w:numPr>
              <w:ind w:right="112"/>
              <w:jc w:val="both"/>
              <w:rPr>
                <w:b/>
              </w:rPr>
            </w:pPr>
            <w:r w:rsidRPr="00C7499F">
              <w:t>Tidak ada jawaban benar</w:t>
            </w:r>
          </w:p>
        </w:tc>
        <w:tc>
          <w:tcPr>
            <w:tcW w:w="1134" w:type="dxa"/>
            <w:tcBorders>
              <w:top w:val="nil"/>
              <w:left w:val="nil"/>
              <w:bottom w:val="nil"/>
              <w:right w:val="nil"/>
            </w:tcBorders>
          </w:tcPr>
          <w:p w:rsidR="00C7499F" w:rsidRDefault="00C7499F" w:rsidP="00A462FD">
            <w:pPr>
              <w:ind w:right="112"/>
              <w:jc w:val="center"/>
            </w:pPr>
          </w:p>
          <w:p w:rsidR="00C7499F" w:rsidRDefault="00C7499F" w:rsidP="00A462FD">
            <w:pPr>
              <w:ind w:right="112"/>
              <w:jc w:val="center"/>
            </w:pPr>
            <w:r>
              <w:t>15</w:t>
            </w:r>
          </w:p>
          <w:p w:rsidR="00C7499F" w:rsidRDefault="00C7499F" w:rsidP="00A462FD">
            <w:pPr>
              <w:ind w:right="112"/>
              <w:jc w:val="center"/>
            </w:pPr>
            <w:r>
              <w:t>28</w:t>
            </w:r>
          </w:p>
          <w:p w:rsidR="00C7499F" w:rsidRDefault="00C7499F" w:rsidP="00A462FD">
            <w:pPr>
              <w:ind w:right="112"/>
              <w:jc w:val="center"/>
            </w:pPr>
            <w:r>
              <w:t>35</w:t>
            </w:r>
          </w:p>
          <w:p w:rsidR="00C7499F" w:rsidRDefault="00C7499F" w:rsidP="00A462FD">
            <w:pPr>
              <w:ind w:right="112"/>
              <w:jc w:val="center"/>
            </w:pPr>
            <w:r>
              <w:t>19</w:t>
            </w:r>
          </w:p>
          <w:p w:rsidR="00C7499F" w:rsidRDefault="00C7499F" w:rsidP="00C7499F">
            <w:pPr>
              <w:ind w:right="112"/>
              <w:jc w:val="center"/>
            </w:pPr>
            <w:r>
              <w:t>15</w:t>
            </w:r>
          </w:p>
          <w:p w:rsidR="00C7499F" w:rsidRPr="00D6616D" w:rsidRDefault="00C7499F" w:rsidP="00C7499F">
            <w:pPr>
              <w:ind w:right="112"/>
              <w:jc w:val="center"/>
            </w:pPr>
            <w:r>
              <w:t>3</w:t>
            </w:r>
          </w:p>
        </w:tc>
        <w:tc>
          <w:tcPr>
            <w:tcW w:w="1275" w:type="dxa"/>
            <w:tcBorders>
              <w:top w:val="nil"/>
              <w:left w:val="nil"/>
              <w:bottom w:val="nil"/>
              <w:right w:val="nil"/>
            </w:tcBorders>
          </w:tcPr>
          <w:p w:rsidR="00C7499F" w:rsidRDefault="00C7499F" w:rsidP="00A462FD">
            <w:pPr>
              <w:ind w:right="112" w:firstLine="27"/>
              <w:jc w:val="center"/>
            </w:pPr>
          </w:p>
          <w:p w:rsidR="00C7499F" w:rsidRDefault="00C7499F" w:rsidP="00A462FD">
            <w:pPr>
              <w:ind w:right="112" w:firstLine="27"/>
              <w:jc w:val="center"/>
            </w:pPr>
            <w:r>
              <w:t>13.04</w:t>
            </w:r>
          </w:p>
          <w:p w:rsidR="00C7499F" w:rsidRDefault="00C7499F" w:rsidP="00A462FD">
            <w:pPr>
              <w:ind w:right="112" w:firstLine="27"/>
              <w:jc w:val="center"/>
            </w:pPr>
            <w:r>
              <w:t>24.35</w:t>
            </w:r>
          </w:p>
          <w:p w:rsidR="00C7499F" w:rsidRDefault="00C7499F" w:rsidP="00A462FD">
            <w:pPr>
              <w:ind w:right="112" w:firstLine="27"/>
              <w:jc w:val="center"/>
            </w:pPr>
            <w:r>
              <w:t>30.43</w:t>
            </w:r>
          </w:p>
          <w:p w:rsidR="00C7499F" w:rsidRDefault="00C7499F" w:rsidP="00A462FD">
            <w:pPr>
              <w:ind w:right="112" w:firstLine="27"/>
              <w:jc w:val="center"/>
            </w:pPr>
            <w:r>
              <w:t>16.52</w:t>
            </w:r>
          </w:p>
          <w:p w:rsidR="00C7499F" w:rsidRDefault="00C7499F" w:rsidP="00A462FD">
            <w:pPr>
              <w:ind w:right="112" w:firstLine="27"/>
              <w:jc w:val="center"/>
            </w:pPr>
            <w:r>
              <w:t>13.04</w:t>
            </w:r>
          </w:p>
          <w:p w:rsidR="00C7499F" w:rsidRPr="00D6616D" w:rsidRDefault="00C7499F" w:rsidP="00A462FD">
            <w:pPr>
              <w:ind w:right="112" w:firstLine="27"/>
              <w:jc w:val="center"/>
            </w:pPr>
            <w:r>
              <w:t>2.61</w:t>
            </w:r>
          </w:p>
        </w:tc>
      </w:tr>
      <w:tr w:rsidR="00A462FD" w:rsidRPr="00137686" w:rsidTr="00C7499F">
        <w:trPr>
          <w:jc w:val="center"/>
        </w:trPr>
        <w:tc>
          <w:tcPr>
            <w:tcW w:w="4112" w:type="dxa"/>
            <w:tcBorders>
              <w:top w:val="nil"/>
              <w:left w:val="nil"/>
              <w:bottom w:val="single" w:sz="4" w:space="0" w:color="auto"/>
              <w:right w:val="nil"/>
            </w:tcBorders>
          </w:tcPr>
          <w:p w:rsidR="00A462FD" w:rsidRDefault="00A462FD" w:rsidP="00A462FD">
            <w:pPr>
              <w:ind w:left="888" w:right="112" w:hanging="888"/>
              <w:jc w:val="both"/>
              <w:rPr>
                <w:b/>
              </w:rPr>
            </w:pPr>
            <w:r>
              <w:rPr>
                <w:b/>
              </w:rPr>
              <w:t xml:space="preserve">Panel C. </w:t>
            </w:r>
            <w:r w:rsidRPr="00A462FD">
              <w:rPr>
                <w:b/>
              </w:rPr>
              <w:t>Tingkat kepercayaan diri atas literasi keuangan</w:t>
            </w:r>
          </w:p>
          <w:p w:rsidR="00A462FD" w:rsidRPr="00A462FD" w:rsidRDefault="00A462FD" w:rsidP="00A462FD">
            <w:pPr>
              <w:pStyle w:val="ListParagraph"/>
              <w:numPr>
                <w:ilvl w:val="0"/>
                <w:numId w:val="25"/>
              </w:numPr>
              <w:ind w:right="112"/>
              <w:jc w:val="both"/>
            </w:pPr>
            <w:r w:rsidRPr="00A462FD">
              <w:t>Diatas rata-rata</w:t>
            </w:r>
          </w:p>
          <w:p w:rsidR="00A462FD" w:rsidRPr="00A462FD" w:rsidRDefault="00A462FD" w:rsidP="00A462FD">
            <w:pPr>
              <w:pStyle w:val="ListParagraph"/>
              <w:numPr>
                <w:ilvl w:val="0"/>
                <w:numId w:val="25"/>
              </w:numPr>
              <w:ind w:right="112"/>
              <w:jc w:val="both"/>
              <w:rPr>
                <w:b/>
              </w:rPr>
            </w:pPr>
            <w:r w:rsidRPr="00A462FD">
              <w:t>Dibawah rata-rata</w:t>
            </w:r>
          </w:p>
        </w:tc>
        <w:tc>
          <w:tcPr>
            <w:tcW w:w="1134" w:type="dxa"/>
            <w:tcBorders>
              <w:top w:val="nil"/>
              <w:left w:val="nil"/>
              <w:bottom w:val="single" w:sz="4" w:space="0" w:color="auto"/>
              <w:right w:val="nil"/>
            </w:tcBorders>
          </w:tcPr>
          <w:p w:rsidR="00A462FD" w:rsidRDefault="00A462FD" w:rsidP="00A462FD">
            <w:pPr>
              <w:ind w:right="112"/>
              <w:jc w:val="center"/>
            </w:pPr>
          </w:p>
          <w:p w:rsidR="00A462FD" w:rsidRDefault="00A462FD" w:rsidP="00A462FD">
            <w:pPr>
              <w:ind w:right="112"/>
              <w:jc w:val="center"/>
            </w:pPr>
          </w:p>
          <w:p w:rsidR="00A462FD" w:rsidRDefault="00A462FD" w:rsidP="00A462FD">
            <w:pPr>
              <w:ind w:right="112"/>
              <w:jc w:val="center"/>
            </w:pPr>
            <w:r>
              <w:t>59</w:t>
            </w:r>
          </w:p>
          <w:p w:rsidR="00A462FD" w:rsidRDefault="00A462FD" w:rsidP="00A462FD">
            <w:pPr>
              <w:ind w:right="112"/>
              <w:jc w:val="center"/>
            </w:pPr>
            <w:r>
              <w:t>56</w:t>
            </w:r>
          </w:p>
        </w:tc>
        <w:tc>
          <w:tcPr>
            <w:tcW w:w="1275" w:type="dxa"/>
            <w:tcBorders>
              <w:top w:val="nil"/>
              <w:left w:val="nil"/>
              <w:bottom w:val="single" w:sz="4" w:space="0" w:color="auto"/>
              <w:right w:val="nil"/>
            </w:tcBorders>
          </w:tcPr>
          <w:p w:rsidR="00A462FD" w:rsidRDefault="00A462FD" w:rsidP="00A462FD">
            <w:pPr>
              <w:ind w:right="112" w:firstLine="27"/>
              <w:jc w:val="center"/>
            </w:pPr>
          </w:p>
          <w:p w:rsidR="00A462FD" w:rsidRDefault="00A462FD" w:rsidP="00A462FD">
            <w:pPr>
              <w:ind w:right="112" w:firstLine="27"/>
              <w:jc w:val="center"/>
            </w:pPr>
          </w:p>
          <w:p w:rsidR="00A462FD" w:rsidRDefault="00A462FD" w:rsidP="00A462FD">
            <w:pPr>
              <w:ind w:right="112" w:firstLine="27"/>
              <w:jc w:val="center"/>
            </w:pPr>
            <w:r>
              <w:t>51.30</w:t>
            </w:r>
          </w:p>
          <w:p w:rsidR="00A462FD" w:rsidRDefault="00A462FD" w:rsidP="00A462FD">
            <w:pPr>
              <w:ind w:right="112" w:firstLine="27"/>
              <w:jc w:val="center"/>
            </w:pPr>
            <w:r>
              <w:t>48.70</w:t>
            </w:r>
          </w:p>
        </w:tc>
      </w:tr>
    </w:tbl>
    <w:p w:rsidR="00583442" w:rsidRPr="00583442" w:rsidRDefault="00583442" w:rsidP="00583442">
      <w:pPr>
        <w:spacing w:line="360" w:lineRule="auto"/>
        <w:ind w:left="709" w:right="113"/>
        <w:jc w:val="both"/>
        <w:rPr>
          <w:szCs w:val="24"/>
        </w:rPr>
      </w:pPr>
      <w:r w:rsidRPr="00583442">
        <w:rPr>
          <w:szCs w:val="24"/>
        </w:rPr>
        <w:t>Sumber: data primer</w:t>
      </w:r>
      <w:r>
        <w:rPr>
          <w:szCs w:val="24"/>
        </w:rPr>
        <w:t xml:space="preserve"> yang diolah</w:t>
      </w:r>
      <w:r w:rsidRPr="00583442">
        <w:rPr>
          <w:szCs w:val="24"/>
        </w:rPr>
        <w:t xml:space="preserve"> (2020)</w:t>
      </w:r>
    </w:p>
    <w:p w:rsidR="00C7499F" w:rsidRDefault="00C7499F" w:rsidP="00AE45A9">
      <w:pPr>
        <w:spacing w:line="360" w:lineRule="auto"/>
        <w:ind w:right="112" w:firstLine="540"/>
        <w:jc w:val="both"/>
        <w:rPr>
          <w:sz w:val="24"/>
          <w:szCs w:val="24"/>
        </w:rPr>
      </w:pPr>
    </w:p>
    <w:p w:rsidR="004D3F2B" w:rsidRDefault="00C7499F" w:rsidP="00AB78DB">
      <w:pPr>
        <w:spacing w:line="360" w:lineRule="auto"/>
        <w:ind w:right="112" w:firstLine="540"/>
        <w:jc w:val="both"/>
        <w:rPr>
          <w:sz w:val="24"/>
          <w:szCs w:val="24"/>
        </w:rPr>
      </w:pPr>
      <w:r>
        <w:rPr>
          <w:sz w:val="24"/>
          <w:szCs w:val="24"/>
        </w:rPr>
        <w:t xml:space="preserve">Panel A pada Tabel 5 menunjukkan jumlah jawaban benar untuk masing-masing item pertanyaan. </w:t>
      </w:r>
      <w:r w:rsidR="004D3F2B">
        <w:rPr>
          <w:sz w:val="24"/>
          <w:szCs w:val="24"/>
        </w:rPr>
        <w:t>Pertanyaan mengenai nilai mata uang menjadi pertanyaan yang paling banyak dijawab benar oleh responden. Sedangkan pertanyaan mengenai investasi berpendapatan tetap secara khusus obligasi menjadi pertanyaan yang paling sedikit dijawab benar. Variasi jumlah jawaban benar intuk masing-masing konsep keuangan tersebut dikarenakan tingkat familiaritasnya, misal: konsep investasi berpendapatan tetap seperti obligasi masih sangat jarang dibahas.</w:t>
      </w:r>
    </w:p>
    <w:p w:rsidR="004D3F2B" w:rsidRDefault="004D3F2B" w:rsidP="00AB78DB">
      <w:pPr>
        <w:spacing w:line="360" w:lineRule="auto"/>
        <w:ind w:right="112" w:firstLine="540"/>
        <w:jc w:val="both"/>
        <w:rPr>
          <w:sz w:val="24"/>
          <w:szCs w:val="24"/>
        </w:rPr>
      </w:pPr>
      <w:r>
        <w:rPr>
          <w:sz w:val="24"/>
          <w:szCs w:val="24"/>
        </w:rPr>
        <w:t xml:space="preserve">Panel B menunjukkan hanya 13.04 persen </w:t>
      </w:r>
      <w:r w:rsidR="00A462FD">
        <w:rPr>
          <w:sz w:val="24"/>
          <w:szCs w:val="24"/>
        </w:rPr>
        <w:t xml:space="preserve">responden </w:t>
      </w:r>
      <w:r>
        <w:rPr>
          <w:sz w:val="24"/>
          <w:szCs w:val="24"/>
        </w:rPr>
        <w:t>yang dapat menjawab se</w:t>
      </w:r>
      <w:r w:rsidR="00A462FD">
        <w:rPr>
          <w:sz w:val="24"/>
          <w:szCs w:val="24"/>
        </w:rPr>
        <w:t xml:space="preserve">mua pertanyaan dengan benar, sedangkan 2.61 persen sama sekali tidak memiliki jawaban benar. Secara rata-rata, jumlah jawaban benar dari sleuruh responden adalah tiga jawaban benar. Meski begitu, secara rata-rata responden meyakini bahwa ia memiliki 3.60 jawaban benar, lebih tinggi dari rata-rata </w:t>
      </w:r>
      <w:r w:rsidR="00A462FD">
        <w:rPr>
          <w:sz w:val="24"/>
          <w:szCs w:val="24"/>
        </w:rPr>
        <w:lastRenderedPageBreak/>
        <w:t>jawaban benar responden. Panel C menunjukkan bahwa 51.30 persen responden memiliki tingkat kepercayaan diri melebihi rata-rata resp</w:t>
      </w:r>
      <w:r w:rsidR="00666326">
        <w:rPr>
          <w:sz w:val="24"/>
          <w:szCs w:val="24"/>
        </w:rPr>
        <w:t>o</w:t>
      </w:r>
      <w:r w:rsidR="00A462FD">
        <w:rPr>
          <w:sz w:val="24"/>
          <w:szCs w:val="24"/>
        </w:rPr>
        <w:t>nden.</w:t>
      </w:r>
    </w:p>
    <w:p w:rsidR="00C7499F" w:rsidRDefault="00666326" w:rsidP="00AB78DB">
      <w:pPr>
        <w:spacing w:line="360" w:lineRule="auto"/>
        <w:ind w:right="112" w:firstLine="540"/>
        <w:jc w:val="both"/>
        <w:rPr>
          <w:sz w:val="24"/>
          <w:szCs w:val="24"/>
        </w:rPr>
      </w:pPr>
      <w:r>
        <w:rPr>
          <w:sz w:val="24"/>
          <w:szCs w:val="24"/>
        </w:rPr>
        <w:t xml:space="preserve">Pengujian simultanitas dilakukan dengan menggunakan serangkaian tahapan yang dijelaskan pada bagian sebelumnya. Tabel 6 menunjukkan bahwa terdapat hubungan simultanitas antara literasi keuangan dan keputusan berkonsultasi. Artinya, pola hubungan keduanya tidak selalu </w:t>
      </w:r>
      <w:r w:rsidR="00BC21C6">
        <w:rPr>
          <w:sz w:val="24"/>
          <w:szCs w:val="24"/>
        </w:rPr>
        <w:t>bahwa l</w:t>
      </w:r>
      <w:r>
        <w:rPr>
          <w:sz w:val="24"/>
          <w:szCs w:val="24"/>
        </w:rPr>
        <w:t>iterasi keuangan dapat me</w:t>
      </w:r>
      <w:r w:rsidR="00BC21C6">
        <w:rPr>
          <w:sz w:val="24"/>
          <w:szCs w:val="24"/>
        </w:rPr>
        <w:t>n</w:t>
      </w:r>
      <w:r>
        <w:rPr>
          <w:sz w:val="24"/>
          <w:szCs w:val="24"/>
        </w:rPr>
        <w:t>ingkatkan probabilitas individu b</w:t>
      </w:r>
      <w:r w:rsidR="00BC21C6">
        <w:rPr>
          <w:sz w:val="24"/>
          <w:szCs w:val="24"/>
        </w:rPr>
        <w:t xml:space="preserve">erkonsultasi dengan profesional, namun </w:t>
      </w:r>
      <w:r>
        <w:rPr>
          <w:sz w:val="24"/>
          <w:szCs w:val="24"/>
        </w:rPr>
        <w:t>individu yang telah terlebih dahulu berkonsultasi dengan profesional</w:t>
      </w:r>
      <w:r w:rsidR="00BC21C6">
        <w:rPr>
          <w:sz w:val="24"/>
          <w:szCs w:val="24"/>
        </w:rPr>
        <w:t xml:space="preserve"> juga mengalami peningkatan literasi keuangan. Pengujian menggunakan regresi dengan menggunakan metode estimasi menggunakan Maximum Likelihood menjadi tidak tepat karena parameter yang dihasilkan juga mencerminkan pengaruh dari konsultasi terhadap literasi keuangan</w:t>
      </w:r>
      <w:r w:rsidR="001F1660">
        <w:rPr>
          <w:sz w:val="24"/>
          <w:szCs w:val="24"/>
        </w:rPr>
        <w:t>, tidak</w:t>
      </w:r>
      <w:r w:rsidR="00655FFC">
        <w:rPr>
          <w:sz w:val="24"/>
          <w:szCs w:val="24"/>
        </w:rPr>
        <w:t xml:space="preserve"> secara</w:t>
      </w:r>
      <w:r w:rsidR="001F1660">
        <w:rPr>
          <w:sz w:val="24"/>
          <w:szCs w:val="24"/>
        </w:rPr>
        <w:t xml:space="preserve"> murni mencerminkan pengaruh literasi keuangan terhadap keputusan berkonsultasi.</w:t>
      </w:r>
    </w:p>
    <w:p w:rsidR="00666326" w:rsidRPr="00BC21C6" w:rsidRDefault="00666326" w:rsidP="00666326">
      <w:pPr>
        <w:spacing w:line="360" w:lineRule="auto"/>
        <w:jc w:val="center"/>
        <w:rPr>
          <w:rFonts w:cs="Calibri"/>
          <w:b/>
          <w:color w:val="000000"/>
          <w:sz w:val="24"/>
          <w:shd w:val="clear" w:color="auto" w:fill="FFFFFF"/>
        </w:rPr>
      </w:pPr>
      <w:r w:rsidRPr="00BC21C6">
        <w:rPr>
          <w:rFonts w:cs="Calibri"/>
          <w:b/>
          <w:color w:val="000000"/>
          <w:sz w:val="24"/>
          <w:shd w:val="clear" w:color="auto" w:fill="FFFFFF"/>
        </w:rPr>
        <w:t>Tabel 6. Hasil pengujian simultanitas</w:t>
      </w:r>
    </w:p>
    <w:tbl>
      <w:tblPr>
        <w:tblStyle w:val="TableGrid"/>
        <w:tblW w:w="4820" w:type="dxa"/>
        <w:jc w:val="center"/>
        <w:tblLayout w:type="fixed"/>
        <w:tblLook w:val="04A0" w:firstRow="1" w:lastRow="0" w:firstColumn="1" w:lastColumn="0" w:noHBand="0" w:noVBand="1"/>
      </w:tblPr>
      <w:tblGrid>
        <w:gridCol w:w="2268"/>
        <w:gridCol w:w="2552"/>
      </w:tblGrid>
      <w:tr w:rsidR="00666326" w:rsidTr="00655FFC">
        <w:trPr>
          <w:trHeight w:val="330"/>
          <w:jc w:val="center"/>
        </w:trPr>
        <w:tc>
          <w:tcPr>
            <w:tcW w:w="2268" w:type="dxa"/>
            <w:tcBorders>
              <w:top w:val="single" w:sz="4" w:space="0" w:color="auto"/>
              <w:left w:val="nil"/>
              <w:bottom w:val="single" w:sz="4" w:space="0" w:color="auto"/>
              <w:right w:val="nil"/>
            </w:tcBorders>
          </w:tcPr>
          <w:p w:rsidR="00666326" w:rsidRDefault="00666326">
            <w:pPr>
              <w:spacing w:line="360" w:lineRule="auto"/>
              <w:jc w:val="center"/>
              <w:rPr>
                <w:rFonts w:cs="Calibri"/>
              </w:rPr>
            </w:pPr>
          </w:p>
        </w:tc>
        <w:tc>
          <w:tcPr>
            <w:tcW w:w="2552" w:type="dxa"/>
            <w:tcBorders>
              <w:top w:val="single" w:sz="4" w:space="0" w:color="auto"/>
              <w:left w:val="nil"/>
              <w:bottom w:val="single" w:sz="4" w:space="0" w:color="auto"/>
              <w:right w:val="nil"/>
            </w:tcBorders>
            <w:hideMark/>
          </w:tcPr>
          <w:p w:rsidR="00666326" w:rsidRDefault="00666326">
            <w:pPr>
              <w:spacing w:line="360" w:lineRule="auto"/>
              <w:jc w:val="center"/>
              <w:rPr>
                <w:rFonts w:cs="Calibri"/>
                <w:b/>
                <w:bCs/>
              </w:rPr>
            </w:pPr>
            <w:r>
              <w:rPr>
                <w:rFonts w:cs="Calibri"/>
                <w:b/>
                <w:bCs/>
              </w:rPr>
              <w:t xml:space="preserve">Literasi keuangan </w:t>
            </w:r>
          </w:p>
        </w:tc>
      </w:tr>
      <w:tr w:rsidR="00666326" w:rsidTr="00655FFC">
        <w:trPr>
          <w:trHeight w:val="113"/>
          <w:jc w:val="center"/>
        </w:trPr>
        <w:tc>
          <w:tcPr>
            <w:tcW w:w="2268" w:type="dxa"/>
            <w:tcBorders>
              <w:top w:val="nil"/>
              <w:left w:val="nil"/>
              <w:bottom w:val="single" w:sz="4" w:space="0" w:color="auto"/>
              <w:right w:val="nil"/>
            </w:tcBorders>
            <w:hideMark/>
          </w:tcPr>
          <w:p w:rsidR="00666326" w:rsidRDefault="00666326">
            <w:pPr>
              <w:spacing w:line="360" w:lineRule="auto"/>
              <w:rPr>
                <w:rFonts w:cs="Calibri"/>
              </w:rPr>
            </w:pPr>
            <w:r>
              <w:rPr>
                <w:rFonts w:cs="Calibri"/>
              </w:rPr>
              <w:t>Residual_konsultasi</w:t>
            </w:r>
          </w:p>
        </w:tc>
        <w:tc>
          <w:tcPr>
            <w:tcW w:w="2552" w:type="dxa"/>
            <w:tcBorders>
              <w:top w:val="nil"/>
              <w:left w:val="nil"/>
              <w:bottom w:val="single" w:sz="4" w:space="0" w:color="auto"/>
              <w:right w:val="nil"/>
            </w:tcBorders>
            <w:hideMark/>
          </w:tcPr>
          <w:p w:rsidR="00666326" w:rsidRDefault="00666326">
            <w:pPr>
              <w:spacing w:line="360" w:lineRule="auto"/>
              <w:jc w:val="center"/>
              <w:rPr>
                <w:rFonts w:cs="Calibri"/>
              </w:rPr>
            </w:pPr>
            <w:r>
              <w:rPr>
                <w:rFonts w:cs="Calibri"/>
              </w:rPr>
              <w:t>-1.69</w:t>
            </w:r>
            <w:r>
              <w:rPr>
                <w:rFonts w:cs="Calibri"/>
                <w:vertAlign w:val="superscript"/>
              </w:rPr>
              <w:t>***</w:t>
            </w:r>
          </w:p>
        </w:tc>
      </w:tr>
    </w:tbl>
    <w:p w:rsidR="00583442" w:rsidRPr="00583442" w:rsidRDefault="00583442" w:rsidP="00583442">
      <w:pPr>
        <w:spacing w:line="360" w:lineRule="auto"/>
        <w:ind w:left="1560" w:right="113"/>
        <w:jc w:val="both"/>
        <w:rPr>
          <w:szCs w:val="24"/>
        </w:rPr>
      </w:pPr>
      <w:r w:rsidRPr="00583442">
        <w:rPr>
          <w:szCs w:val="24"/>
        </w:rPr>
        <w:t xml:space="preserve">Sumber: data primer </w:t>
      </w:r>
      <w:r>
        <w:rPr>
          <w:szCs w:val="24"/>
        </w:rPr>
        <w:t xml:space="preserve">yang diolah </w:t>
      </w:r>
      <w:r w:rsidRPr="00583442">
        <w:rPr>
          <w:szCs w:val="24"/>
        </w:rPr>
        <w:t>(2020)</w:t>
      </w:r>
    </w:p>
    <w:p w:rsidR="00666326" w:rsidRDefault="00666326" w:rsidP="00655FFC">
      <w:pPr>
        <w:spacing w:line="360" w:lineRule="auto"/>
        <w:ind w:left="1560" w:right="1714"/>
        <w:jc w:val="both"/>
        <w:rPr>
          <w:rFonts w:ascii="Calibri" w:hAnsi="Calibri" w:cs="Calibri"/>
          <w:sz w:val="22"/>
          <w:szCs w:val="22"/>
        </w:rPr>
      </w:pPr>
      <w:r>
        <w:rPr>
          <w:rFonts w:cs="Calibri"/>
        </w:rPr>
        <w:t xml:space="preserve">Keterangan: Tingkat signifikansi dinyatakan dengan tanda </w:t>
      </w:r>
      <w:r>
        <w:rPr>
          <w:rFonts w:cs="Calibri"/>
          <w:vertAlign w:val="superscript"/>
        </w:rPr>
        <w:t>***</w:t>
      </w:r>
      <w:r>
        <w:rPr>
          <w:rFonts w:cs="Calibri"/>
        </w:rPr>
        <w:t xml:space="preserve">, </w:t>
      </w:r>
      <w:r>
        <w:rPr>
          <w:rFonts w:cs="Calibri"/>
          <w:vertAlign w:val="superscript"/>
        </w:rPr>
        <w:t>**</w:t>
      </w:r>
      <w:r>
        <w:rPr>
          <w:rFonts w:cs="Calibri"/>
        </w:rPr>
        <w:t xml:space="preserve">, </w:t>
      </w:r>
      <w:r>
        <w:rPr>
          <w:rFonts w:cs="Calibri"/>
          <w:vertAlign w:val="superscript"/>
        </w:rPr>
        <w:t xml:space="preserve">* </w:t>
      </w:r>
      <w:r>
        <w:rPr>
          <w:rFonts w:cs="Calibri"/>
        </w:rPr>
        <w:t>untuk tingkat signifikansi 1%, 5% dan 10%.</w:t>
      </w:r>
    </w:p>
    <w:p w:rsidR="00655FFC" w:rsidRDefault="001F1660" w:rsidP="00AD528D">
      <w:pPr>
        <w:spacing w:line="360" w:lineRule="auto"/>
        <w:ind w:right="113" w:firstLine="588"/>
        <w:jc w:val="both"/>
        <w:rPr>
          <w:sz w:val="24"/>
          <w:szCs w:val="24"/>
        </w:rPr>
      </w:pPr>
      <w:r>
        <w:rPr>
          <w:sz w:val="24"/>
          <w:szCs w:val="24"/>
        </w:rPr>
        <w:t xml:space="preserve">Pengujian kausalitas antara literasi keuangan dan keputusan berkonsultasi dilakukan dengan menggunakan metode estimasi Control Function. Untuk dapat menggunakan metode estimasi ini maka perlu </w:t>
      </w:r>
      <w:r w:rsidR="00AB78DB">
        <w:rPr>
          <w:sz w:val="24"/>
          <w:szCs w:val="24"/>
        </w:rPr>
        <w:t>ditambahkan variabel instrumental. Variabel instrumental yang dipilih adalah goncangan ekonomi keluarga dalam dua pu</w:t>
      </w:r>
      <w:r w:rsidR="00D232DD">
        <w:rPr>
          <w:sz w:val="24"/>
          <w:szCs w:val="24"/>
        </w:rPr>
        <w:t>l</w:t>
      </w:r>
      <w:r w:rsidR="00AB78DB">
        <w:rPr>
          <w:sz w:val="24"/>
          <w:szCs w:val="24"/>
        </w:rPr>
        <w:t>uh tahun terakhir.</w:t>
      </w:r>
      <w:r w:rsidR="00D232DD">
        <w:rPr>
          <w:sz w:val="24"/>
          <w:szCs w:val="24"/>
        </w:rPr>
        <w:t xml:space="preserve"> Tabel 7 menunjukkan hasil uji kausalitas.</w:t>
      </w:r>
      <w:r w:rsidR="005B02B1">
        <w:rPr>
          <w:sz w:val="24"/>
          <w:szCs w:val="24"/>
        </w:rPr>
        <w:t xml:space="preserve"> Literasi keuangan dan pengambilan keputusan untuk berkonsultasi pada profesional berhubungan positif dan signifikan mempengaruhi. Artinya semakin tinggi literasi keuangan individu maka ia akan memiliki probabilitas lebih tinggi untuk berkonsultasi dengan profesional.</w:t>
      </w:r>
      <w:r w:rsidR="00655FFC">
        <w:rPr>
          <w:sz w:val="24"/>
          <w:szCs w:val="24"/>
        </w:rPr>
        <w:t xml:space="preserve"> Temuan ini sesuai dengan studi yang dilakukan</w:t>
      </w:r>
      <w:r w:rsidR="005B02B1">
        <w:rPr>
          <w:sz w:val="24"/>
          <w:szCs w:val="24"/>
        </w:rPr>
        <w:t xml:space="preserve"> </w:t>
      </w:r>
      <w:r w:rsidR="00655FFC">
        <w:rPr>
          <w:sz w:val="24"/>
          <w:szCs w:val="24"/>
        </w:rPr>
        <w:fldChar w:fldCharType="begin" w:fldLock="1"/>
      </w:r>
      <w:r w:rsidR="00655FFC">
        <w:rPr>
          <w:sz w:val="24"/>
          <w:szCs w:val="24"/>
        </w:rPr>
        <w:instrText>ADDIN CSL_CITATION {"citationItems":[{"id":"ITEM-1","itemData":{"DOI":"10.1016/j.jfineco.2011.03.006","ISBN":"0304-405X","ISSN":"0304405X","PMID":"61177662","abstract":"We have devised two special modules for De Nederlandsche Bank (DNB) Household Survey to measure financial literacy and study its relationship to stock market participation. We find that the majority of respondents display basic financial knowledge and have some grasp of concepts such as interest compounding, inflation, and the time value of money. However, very few go beyond these basic concepts; many respondents do not know the difference between bonds and stocks, the relationship between bond prices and interest rates, and the basics of risk diversification. Most importantly, we find that financial literacy affects financial decision-making: Those with low literacy are much less likely to invest in stocks. © 2011 Elsevier B.V.","author":[{"dropping-particle":"","family":"Rooij","given":"Maarten","non-dropping-particle":"van","parse-names":false,"suffix":""},{"dropping-particle":"","family":"Lusardi","given":"Annamaria","non-dropping-particle":"","parse-names":false,"suffix":""},{"dropping-particle":"","family":"Alessie","given":"Rob","non-dropping-particle":"","parse-names":false,"suffix":""}],"container-title":"Journal of Financial Economics","id":"ITEM-1","issue":"2","issued":{"date-parts":[["2011"]]},"page":"449-472","publisher":"Elsevier","title":"Financial literacy and stock market participation","type":"article-journal","volume":"101"},"uris":["http://www.mendeley.com/documents/?uuid=bc5af101-4723-4cc8-ac15-32515fb7b09d"]}],"mendeley":{"formattedCitation":"(M. van Rooij, Lusardi, and Alessie 2011)","manualFormatting":"van Rooij, Lusardi, dan Alessie (2011)","plainTextFormattedCitation":"(M. van Rooij, Lusardi, and Alessie 2011)","previouslyFormattedCitation":"(M. van Rooij, Lusardi, and Alessie 2011)"},"properties":{"noteIndex":0},"schema":"https://github.com/citation-style-language/schema/raw/master/csl-citation.json"}</w:instrText>
      </w:r>
      <w:r w:rsidR="00655FFC">
        <w:rPr>
          <w:sz w:val="24"/>
          <w:szCs w:val="24"/>
        </w:rPr>
        <w:fldChar w:fldCharType="separate"/>
      </w:r>
      <w:r w:rsidR="00655FFC" w:rsidRPr="00446CCE">
        <w:rPr>
          <w:noProof/>
          <w:sz w:val="24"/>
          <w:szCs w:val="24"/>
        </w:rPr>
        <w:t xml:space="preserve">van Rooij, Lusardi, </w:t>
      </w:r>
      <w:r w:rsidR="00655FFC">
        <w:rPr>
          <w:noProof/>
          <w:sz w:val="24"/>
          <w:szCs w:val="24"/>
        </w:rPr>
        <w:t>dan</w:t>
      </w:r>
      <w:r w:rsidR="00655FFC" w:rsidRPr="00446CCE">
        <w:rPr>
          <w:noProof/>
          <w:sz w:val="24"/>
          <w:szCs w:val="24"/>
        </w:rPr>
        <w:t xml:space="preserve"> Alessie </w:t>
      </w:r>
      <w:r w:rsidR="00655FFC">
        <w:rPr>
          <w:noProof/>
          <w:sz w:val="24"/>
          <w:szCs w:val="24"/>
        </w:rPr>
        <w:t>(</w:t>
      </w:r>
      <w:r w:rsidR="00655FFC" w:rsidRPr="00446CCE">
        <w:rPr>
          <w:noProof/>
          <w:sz w:val="24"/>
          <w:szCs w:val="24"/>
        </w:rPr>
        <w:t>2011)</w:t>
      </w:r>
      <w:r w:rsidR="00655FFC">
        <w:rPr>
          <w:sz w:val="24"/>
          <w:szCs w:val="24"/>
        </w:rPr>
        <w:fldChar w:fldCharType="end"/>
      </w:r>
      <w:r w:rsidR="00655FFC">
        <w:rPr>
          <w:sz w:val="24"/>
          <w:szCs w:val="24"/>
        </w:rPr>
        <w:t xml:space="preserve"> bahwa individu dengan literasi keuangan yang tinggi lebih mengandalkan sumber informasi formal seperti konsultasi dengan profesional.</w:t>
      </w:r>
      <w:r w:rsidR="00583442">
        <w:rPr>
          <w:sz w:val="24"/>
          <w:szCs w:val="24"/>
        </w:rPr>
        <w:t xml:space="preserve"> Ia memahami peran dan manfaat berkonsultasi dengan profesional. Selain itu, i</w:t>
      </w:r>
      <w:r w:rsidR="00655FFC">
        <w:rPr>
          <w:sz w:val="24"/>
          <w:szCs w:val="24"/>
        </w:rPr>
        <w:t xml:space="preserve">ndividu ini menganggap bahwa sumber informasi informal seperti </w:t>
      </w:r>
      <w:r w:rsidR="00655FFC">
        <w:rPr>
          <w:sz w:val="24"/>
          <w:szCs w:val="24"/>
        </w:rPr>
        <w:lastRenderedPageBreak/>
        <w:t xml:space="preserve">percakapan dengan keluarga dan rekan yang merupakan masyarakat awam  cenderung bersifat subjektif. Individu awam </w:t>
      </w:r>
      <w:r w:rsidR="00AD528D">
        <w:rPr>
          <w:sz w:val="24"/>
          <w:szCs w:val="24"/>
        </w:rPr>
        <w:t xml:space="preserve">cenderung </w:t>
      </w:r>
      <w:r w:rsidR="00655FFC">
        <w:rPr>
          <w:sz w:val="24"/>
          <w:szCs w:val="24"/>
        </w:rPr>
        <w:t xml:space="preserve">mengandalkan </w:t>
      </w:r>
      <w:r w:rsidR="00AD528D">
        <w:rPr>
          <w:sz w:val="24"/>
          <w:szCs w:val="24"/>
        </w:rPr>
        <w:t xml:space="preserve">pengalamannya di masa lalu </w:t>
      </w:r>
      <w:r w:rsidR="0071607D">
        <w:rPr>
          <w:sz w:val="24"/>
          <w:szCs w:val="24"/>
        </w:rPr>
        <w:t xml:space="preserve">tanpa melihat relevansinya pada masa sekarang </w:t>
      </w:r>
      <w:r w:rsidR="00AD528D">
        <w:rPr>
          <w:sz w:val="24"/>
          <w:szCs w:val="24"/>
        </w:rPr>
        <w:t>sehingga sangat mungkin mengalami “</w:t>
      </w:r>
      <w:r w:rsidR="00AD528D" w:rsidRPr="00AD528D">
        <w:rPr>
          <w:i/>
          <w:sz w:val="24"/>
          <w:szCs w:val="24"/>
        </w:rPr>
        <w:t>hindsight bias</w:t>
      </w:r>
      <w:r w:rsidR="0071607D">
        <w:rPr>
          <w:sz w:val="24"/>
          <w:szCs w:val="24"/>
        </w:rPr>
        <w:t>.</w:t>
      </w:r>
      <w:r w:rsidR="00AD528D">
        <w:rPr>
          <w:sz w:val="24"/>
          <w:szCs w:val="24"/>
        </w:rPr>
        <w:t xml:space="preserve"> </w:t>
      </w:r>
    </w:p>
    <w:p w:rsidR="00FC79F4" w:rsidRDefault="00FC79F4" w:rsidP="0071607D">
      <w:pPr>
        <w:spacing w:line="360" w:lineRule="auto"/>
        <w:ind w:right="113" w:firstLine="588"/>
        <w:jc w:val="both"/>
        <w:rPr>
          <w:sz w:val="24"/>
          <w:szCs w:val="24"/>
        </w:rPr>
      </w:pPr>
      <w:r>
        <w:rPr>
          <w:sz w:val="24"/>
          <w:szCs w:val="24"/>
        </w:rPr>
        <w:t>Tabel 8 menunjukkan peningkatan probabilitas untuk berkonsultasi pada masing-masing tingkatan literasi keuangan. Individu yang menjawab semua pertanyaan literasi keuangan dengan benar m</w:t>
      </w:r>
      <w:r w:rsidR="000434CE">
        <w:rPr>
          <w:sz w:val="24"/>
          <w:szCs w:val="24"/>
        </w:rPr>
        <w:t xml:space="preserve">emiliki probabilitas sebesar 86.86 persen untuk berkonsultasi  </w:t>
      </w:r>
      <w:r w:rsidR="00583442">
        <w:rPr>
          <w:sz w:val="24"/>
          <w:szCs w:val="24"/>
        </w:rPr>
        <w:t xml:space="preserve">dengan profesional, sedangkan individu yang tidak memiliki jawaban benar hampir mustahil untuk berkonsultasi dengan profesional. </w:t>
      </w:r>
    </w:p>
    <w:p w:rsidR="00FC79F4" w:rsidRPr="005B02B1" w:rsidRDefault="00FC79F4" w:rsidP="00FC79F4">
      <w:pPr>
        <w:spacing w:line="360" w:lineRule="auto"/>
        <w:jc w:val="center"/>
        <w:rPr>
          <w:rFonts w:cs="Calibri"/>
          <w:b/>
          <w:color w:val="000000"/>
          <w:sz w:val="24"/>
          <w:shd w:val="clear" w:color="auto" w:fill="FFFFFF"/>
        </w:rPr>
      </w:pPr>
      <w:r w:rsidRPr="00BC21C6">
        <w:rPr>
          <w:rFonts w:cs="Calibri"/>
          <w:b/>
          <w:color w:val="000000"/>
          <w:sz w:val="24"/>
          <w:shd w:val="clear" w:color="auto" w:fill="FFFFFF"/>
        </w:rPr>
        <w:t>Tabel</w:t>
      </w:r>
      <w:r>
        <w:rPr>
          <w:rFonts w:cs="Calibri"/>
          <w:b/>
          <w:color w:val="000000"/>
          <w:sz w:val="24"/>
          <w:shd w:val="clear" w:color="auto" w:fill="FFFFFF"/>
        </w:rPr>
        <w:t xml:space="preserve"> 7. Hasil pengujian kausalitas</w:t>
      </w:r>
    </w:p>
    <w:tbl>
      <w:tblPr>
        <w:tblStyle w:val="TableGrid"/>
        <w:tblW w:w="496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1417"/>
        <w:gridCol w:w="1560"/>
      </w:tblGrid>
      <w:tr w:rsidR="00FC79F4" w:rsidTr="00BC331A">
        <w:trPr>
          <w:trHeight w:val="270"/>
          <w:jc w:val="center"/>
        </w:trPr>
        <w:tc>
          <w:tcPr>
            <w:tcW w:w="1985" w:type="dxa"/>
            <w:tcBorders>
              <w:top w:val="single" w:sz="4" w:space="0" w:color="auto"/>
              <w:left w:val="nil"/>
              <w:bottom w:val="nil"/>
              <w:right w:val="nil"/>
            </w:tcBorders>
          </w:tcPr>
          <w:p w:rsidR="00FC79F4" w:rsidRDefault="00FC79F4" w:rsidP="00BC331A">
            <w:pPr>
              <w:spacing w:line="360" w:lineRule="auto"/>
              <w:ind w:left="-113"/>
              <w:rPr>
                <w:rFonts w:cs="Calibri"/>
              </w:rPr>
            </w:pPr>
          </w:p>
        </w:tc>
        <w:tc>
          <w:tcPr>
            <w:tcW w:w="2977" w:type="dxa"/>
            <w:gridSpan w:val="2"/>
            <w:tcBorders>
              <w:top w:val="single" w:sz="4" w:space="0" w:color="auto"/>
              <w:left w:val="nil"/>
              <w:bottom w:val="nil"/>
              <w:right w:val="nil"/>
            </w:tcBorders>
          </w:tcPr>
          <w:p w:rsidR="00FC79F4" w:rsidRDefault="00FC79F4" w:rsidP="00BC331A">
            <w:pPr>
              <w:spacing w:line="360" w:lineRule="auto"/>
              <w:jc w:val="center"/>
              <w:rPr>
                <w:rFonts w:cs="Calibri"/>
                <w:b/>
                <w:bCs/>
              </w:rPr>
            </w:pPr>
            <w:r>
              <w:rPr>
                <w:rFonts w:cs="Calibri"/>
                <w:b/>
                <w:bCs/>
              </w:rPr>
              <w:t>Keputusan berkonsultasi</w:t>
            </w:r>
          </w:p>
        </w:tc>
      </w:tr>
      <w:tr w:rsidR="00FC79F4" w:rsidTr="00BC331A">
        <w:trPr>
          <w:trHeight w:val="73"/>
          <w:jc w:val="center"/>
        </w:trPr>
        <w:tc>
          <w:tcPr>
            <w:tcW w:w="1985" w:type="dxa"/>
            <w:tcBorders>
              <w:top w:val="nil"/>
              <w:left w:val="nil"/>
              <w:bottom w:val="nil"/>
              <w:right w:val="nil"/>
            </w:tcBorders>
          </w:tcPr>
          <w:p w:rsidR="00FC79F4" w:rsidRPr="00D232DD" w:rsidRDefault="00FC79F4" w:rsidP="00BC331A">
            <w:pPr>
              <w:ind w:left="-113"/>
              <w:rPr>
                <w:rFonts w:cs="Calibri"/>
              </w:rPr>
            </w:pPr>
          </w:p>
        </w:tc>
        <w:tc>
          <w:tcPr>
            <w:tcW w:w="1417" w:type="dxa"/>
            <w:tcBorders>
              <w:top w:val="nil"/>
              <w:left w:val="nil"/>
              <w:bottom w:val="nil"/>
              <w:right w:val="nil"/>
            </w:tcBorders>
          </w:tcPr>
          <w:p w:rsidR="00FC79F4" w:rsidRPr="00D232DD" w:rsidRDefault="00FC79F4" w:rsidP="00BC331A">
            <w:pPr>
              <w:jc w:val="center"/>
              <w:rPr>
                <w:rFonts w:cs="Calibri"/>
              </w:rPr>
            </w:pPr>
            <w:r>
              <w:rPr>
                <w:rFonts w:cs="Calibri"/>
              </w:rPr>
              <w:t>Nilai marginal</w:t>
            </w:r>
          </w:p>
        </w:tc>
        <w:tc>
          <w:tcPr>
            <w:tcW w:w="1560" w:type="dxa"/>
            <w:tcBorders>
              <w:top w:val="nil"/>
              <w:left w:val="nil"/>
              <w:bottom w:val="nil"/>
              <w:right w:val="nil"/>
            </w:tcBorders>
          </w:tcPr>
          <w:p w:rsidR="00FC79F4" w:rsidRPr="00D232DD" w:rsidRDefault="00FC79F4" w:rsidP="00BC331A">
            <w:pPr>
              <w:jc w:val="center"/>
              <w:rPr>
                <w:rFonts w:cs="Calibri"/>
              </w:rPr>
            </w:pPr>
            <w:r>
              <w:rPr>
                <w:rFonts w:cs="Calibri"/>
              </w:rPr>
              <w:t>Deviasi standar</w:t>
            </w:r>
          </w:p>
        </w:tc>
      </w:tr>
      <w:tr w:rsidR="00FC79F4" w:rsidTr="00BC331A">
        <w:trPr>
          <w:trHeight w:val="237"/>
          <w:jc w:val="center"/>
        </w:trPr>
        <w:tc>
          <w:tcPr>
            <w:tcW w:w="1985" w:type="dxa"/>
            <w:tcBorders>
              <w:top w:val="single" w:sz="4" w:space="0" w:color="auto"/>
              <w:left w:val="nil"/>
              <w:bottom w:val="nil"/>
              <w:right w:val="nil"/>
            </w:tcBorders>
            <w:hideMark/>
          </w:tcPr>
          <w:p w:rsidR="00FC79F4" w:rsidRPr="00D232DD" w:rsidRDefault="00FC79F4" w:rsidP="00BC331A">
            <w:pPr>
              <w:ind w:left="-113"/>
              <w:rPr>
                <w:rFonts w:ascii="Calibri" w:eastAsia="SimSun" w:hAnsi="Calibri" w:cs="Calibri"/>
              </w:rPr>
            </w:pPr>
            <w:r w:rsidRPr="00D232DD">
              <w:rPr>
                <w:rFonts w:cs="Calibri"/>
              </w:rPr>
              <w:t>Literasi keuangan</w:t>
            </w:r>
          </w:p>
        </w:tc>
        <w:tc>
          <w:tcPr>
            <w:tcW w:w="1417" w:type="dxa"/>
            <w:tcBorders>
              <w:top w:val="single" w:sz="4" w:space="0" w:color="auto"/>
              <w:left w:val="nil"/>
              <w:bottom w:val="nil"/>
              <w:right w:val="nil"/>
            </w:tcBorders>
          </w:tcPr>
          <w:p w:rsidR="00FC79F4" w:rsidRPr="00D232DD" w:rsidRDefault="00FC79F4" w:rsidP="00BC331A">
            <w:pPr>
              <w:jc w:val="center"/>
              <w:rPr>
                <w:rFonts w:cs="Calibri"/>
              </w:rPr>
            </w:pPr>
            <w:r w:rsidRPr="00D232DD">
              <w:rPr>
                <w:rFonts w:cs="Calibri"/>
              </w:rPr>
              <w:t>.955</w:t>
            </w:r>
            <w:r w:rsidRPr="00D232DD">
              <w:rPr>
                <w:rFonts w:cs="Calibri"/>
                <w:vertAlign w:val="superscript"/>
              </w:rPr>
              <w:t>***</w:t>
            </w:r>
          </w:p>
        </w:tc>
        <w:tc>
          <w:tcPr>
            <w:tcW w:w="1560" w:type="dxa"/>
            <w:tcBorders>
              <w:top w:val="single" w:sz="4" w:space="0" w:color="auto"/>
              <w:left w:val="nil"/>
              <w:bottom w:val="nil"/>
              <w:right w:val="nil"/>
            </w:tcBorders>
            <w:hideMark/>
          </w:tcPr>
          <w:p w:rsidR="00FC79F4" w:rsidRPr="00D232DD" w:rsidRDefault="00FC79F4" w:rsidP="00BC331A">
            <w:pPr>
              <w:jc w:val="center"/>
              <w:rPr>
                <w:rFonts w:cs="Calibri"/>
              </w:rPr>
            </w:pPr>
            <w:r w:rsidRPr="00D232DD">
              <w:rPr>
                <w:rFonts w:cs="Calibri"/>
              </w:rPr>
              <w:t xml:space="preserve"> .211</w:t>
            </w:r>
          </w:p>
        </w:tc>
      </w:tr>
      <w:tr w:rsidR="00FC79F4" w:rsidTr="00BC331A">
        <w:trPr>
          <w:trHeight w:val="151"/>
          <w:jc w:val="center"/>
        </w:trPr>
        <w:tc>
          <w:tcPr>
            <w:tcW w:w="1985" w:type="dxa"/>
            <w:tcBorders>
              <w:top w:val="nil"/>
              <w:left w:val="nil"/>
              <w:bottom w:val="nil"/>
              <w:right w:val="nil"/>
            </w:tcBorders>
            <w:hideMark/>
          </w:tcPr>
          <w:p w:rsidR="00FC79F4" w:rsidRPr="00D232DD" w:rsidRDefault="00FC79F4" w:rsidP="00BC331A">
            <w:pPr>
              <w:ind w:left="-113"/>
              <w:rPr>
                <w:rFonts w:ascii="Calibri" w:eastAsia="SimSun" w:hAnsi="Calibri" w:cs="Calibri"/>
                <w:iCs/>
              </w:rPr>
            </w:pPr>
            <w:r w:rsidRPr="00D232DD">
              <w:rPr>
                <w:rFonts w:cs="Calibri"/>
                <w:iCs/>
              </w:rPr>
              <w:t>Kepercayaan diri</w:t>
            </w:r>
          </w:p>
        </w:tc>
        <w:tc>
          <w:tcPr>
            <w:tcW w:w="1417" w:type="dxa"/>
            <w:tcBorders>
              <w:top w:val="nil"/>
              <w:left w:val="nil"/>
              <w:bottom w:val="nil"/>
              <w:right w:val="nil"/>
            </w:tcBorders>
          </w:tcPr>
          <w:p w:rsidR="00FC79F4" w:rsidRPr="00D232DD" w:rsidRDefault="00FC79F4" w:rsidP="00BC331A">
            <w:pPr>
              <w:jc w:val="center"/>
              <w:rPr>
                <w:rFonts w:cs="Calibri"/>
              </w:rPr>
            </w:pPr>
            <w:r w:rsidRPr="00D232DD">
              <w:rPr>
                <w:rFonts w:cs="Calibri"/>
              </w:rPr>
              <w:t>-.810</w:t>
            </w:r>
            <w:r w:rsidRPr="00D232DD">
              <w:rPr>
                <w:rFonts w:cs="Calibri"/>
                <w:vertAlign w:val="superscript"/>
              </w:rPr>
              <w:t>***</w:t>
            </w:r>
          </w:p>
        </w:tc>
        <w:tc>
          <w:tcPr>
            <w:tcW w:w="1560" w:type="dxa"/>
            <w:tcBorders>
              <w:top w:val="nil"/>
              <w:left w:val="nil"/>
              <w:bottom w:val="nil"/>
              <w:right w:val="nil"/>
            </w:tcBorders>
            <w:hideMark/>
          </w:tcPr>
          <w:p w:rsidR="00FC79F4" w:rsidRPr="00D232DD" w:rsidRDefault="00FC79F4" w:rsidP="00BC331A">
            <w:pPr>
              <w:jc w:val="center"/>
              <w:rPr>
                <w:rFonts w:cs="Calibri"/>
              </w:rPr>
            </w:pPr>
            <w:r w:rsidRPr="00D232DD">
              <w:rPr>
                <w:rFonts w:cs="Calibri"/>
              </w:rPr>
              <w:t xml:space="preserve"> .26</w:t>
            </w:r>
            <w:r>
              <w:rPr>
                <w:rFonts w:cs="Calibri"/>
              </w:rPr>
              <w:t>8</w:t>
            </w:r>
          </w:p>
        </w:tc>
      </w:tr>
      <w:tr w:rsidR="00FC79F4" w:rsidTr="00BC331A">
        <w:trPr>
          <w:trHeight w:val="196"/>
          <w:jc w:val="center"/>
        </w:trPr>
        <w:tc>
          <w:tcPr>
            <w:tcW w:w="1985" w:type="dxa"/>
            <w:tcBorders>
              <w:top w:val="nil"/>
              <w:left w:val="nil"/>
              <w:bottom w:val="nil"/>
              <w:right w:val="nil"/>
            </w:tcBorders>
            <w:hideMark/>
          </w:tcPr>
          <w:p w:rsidR="00FC79F4" w:rsidRPr="00D232DD" w:rsidRDefault="00FC79F4" w:rsidP="00BC331A">
            <w:pPr>
              <w:ind w:left="-113"/>
              <w:rPr>
                <w:rFonts w:ascii="Calibri" w:eastAsia="SimSun" w:hAnsi="Calibri" w:cs="Calibri"/>
              </w:rPr>
            </w:pPr>
            <w:r w:rsidRPr="00D232DD">
              <w:rPr>
                <w:rFonts w:cs="Calibri"/>
              </w:rPr>
              <w:t>Gender</w:t>
            </w:r>
          </w:p>
        </w:tc>
        <w:tc>
          <w:tcPr>
            <w:tcW w:w="1417" w:type="dxa"/>
            <w:tcBorders>
              <w:top w:val="nil"/>
              <w:left w:val="nil"/>
              <w:bottom w:val="nil"/>
              <w:right w:val="nil"/>
            </w:tcBorders>
          </w:tcPr>
          <w:p w:rsidR="00FC79F4" w:rsidRPr="00D232DD" w:rsidRDefault="00FC79F4" w:rsidP="00BC331A">
            <w:pPr>
              <w:jc w:val="center"/>
              <w:rPr>
                <w:rFonts w:cs="Calibri"/>
              </w:rPr>
            </w:pPr>
            <w:r w:rsidRPr="00D232DD">
              <w:rPr>
                <w:rFonts w:cs="Calibri"/>
              </w:rPr>
              <w:t>-.098</w:t>
            </w:r>
          </w:p>
        </w:tc>
        <w:tc>
          <w:tcPr>
            <w:tcW w:w="1560" w:type="dxa"/>
            <w:tcBorders>
              <w:top w:val="nil"/>
              <w:left w:val="nil"/>
              <w:bottom w:val="nil"/>
              <w:right w:val="nil"/>
            </w:tcBorders>
            <w:hideMark/>
          </w:tcPr>
          <w:p w:rsidR="00FC79F4" w:rsidRPr="00D232DD" w:rsidRDefault="00FC79F4" w:rsidP="00BC331A">
            <w:pPr>
              <w:jc w:val="center"/>
              <w:rPr>
                <w:rFonts w:cs="Calibri"/>
              </w:rPr>
            </w:pPr>
            <w:r w:rsidRPr="00D232DD">
              <w:rPr>
                <w:rFonts w:cs="Calibri"/>
              </w:rPr>
              <w:t xml:space="preserve"> .636</w:t>
            </w:r>
          </w:p>
        </w:tc>
      </w:tr>
      <w:tr w:rsidR="00FC79F4" w:rsidTr="00BC331A">
        <w:trPr>
          <w:trHeight w:val="70"/>
          <w:jc w:val="center"/>
        </w:trPr>
        <w:tc>
          <w:tcPr>
            <w:tcW w:w="1985" w:type="dxa"/>
            <w:tcBorders>
              <w:top w:val="nil"/>
              <w:left w:val="nil"/>
              <w:bottom w:val="nil"/>
              <w:right w:val="nil"/>
            </w:tcBorders>
            <w:hideMark/>
          </w:tcPr>
          <w:p w:rsidR="00FC79F4" w:rsidRPr="00D232DD" w:rsidRDefault="00FC79F4" w:rsidP="00BC331A">
            <w:pPr>
              <w:ind w:left="-113"/>
              <w:rPr>
                <w:rFonts w:ascii="Calibri" w:eastAsia="SimSun" w:hAnsi="Calibri" w:cs="Calibri"/>
              </w:rPr>
            </w:pPr>
            <w:r w:rsidRPr="00D232DD">
              <w:rPr>
                <w:rFonts w:cs="Calibri"/>
              </w:rPr>
              <w:t>Status</w:t>
            </w:r>
          </w:p>
        </w:tc>
        <w:tc>
          <w:tcPr>
            <w:tcW w:w="1417" w:type="dxa"/>
            <w:tcBorders>
              <w:top w:val="nil"/>
              <w:left w:val="nil"/>
              <w:bottom w:val="nil"/>
              <w:right w:val="nil"/>
            </w:tcBorders>
          </w:tcPr>
          <w:p w:rsidR="00FC79F4" w:rsidRPr="00D232DD" w:rsidRDefault="00FC79F4" w:rsidP="00BC331A">
            <w:pPr>
              <w:jc w:val="center"/>
              <w:rPr>
                <w:rFonts w:cs="Calibri"/>
              </w:rPr>
            </w:pPr>
            <w:r w:rsidRPr="00D232DD">
              <w:rPr>
                <w:rFonts w:cs="Calibri"/>
              </w:rPr>
              <w:t>-.525</w:t>
            </w:r>
          </w:p>
        </w:tc>
        <w:tc>
          <w:tcPr>
            <w:tcW w:w="1560" w:type="dxa"/>
            <w:tcBorders>
              <w:top w:val="nil"/>
              <w:left w:val="nil"/>
              <w:bottom w:val="nil"/>
              <w:right w:val="nil"/>
            </w:tcBorders>
            <w:hideMark/>
          </w:tcPr>
          <w:p w:rsidR="00FC79F4" w:rsidRPr="00D232DD" w:rsidRDefault="00FC79F4" w:rsidP="00BC331A">
            <w:pPr>
              <w:jc w:val="center"/>
              <w:rPr>
                <w:rFonts w:cs="Calibri"/>
              </w:rPr>
            </w:pPr>
            <w:r w:rsidRPr="00D232DD">
              <w:rPr>
                <w:rFonts w:cs="Calibri"/>
              </w:rPr>
              <w:t xml:space="preserve"> .813</w:t>
            </w:r>
          </w:p>
        </w:tc>
      </w:tr>
      <w:tr w:rsidR="00FC79F4" w:rsidTr="00BC331A">
        <w:trPr>
          <w:trHeight w:val="174"/>
          <w:jc w:val="center"/>
        </w:trPr>
        <w:tc>
          <w:tcPr>
            <w:tcW w:w="1985" w:type="dxa"/>
            <w:tcBorders>
              <w:top w:val="nil"/>
              <w:left w:val="nil"/>
              <w:bottom w:val="nil"/>
              <w:right w:val="nil"/>
            </w:tcBorders>
            <w:hideMark/>
          </w:tcPr>
          <w:p w:rsidR="00FC79F4" w:rsidRPr="00D232DD" w:rsidRDefault="00FC79F4" w:rsidP="00BC331A">
            <w:pPr>
              <w:ind w:left="-113"/>
              <w:rPr>
                <w:rFonts w:ascii="Calibri" w:eastAsia="SimSun" w:hAnsi="Calibri" w:cs="Calibri"/>
              </w:rPr>
            </w:pPr>
            <w:r w:rsidRPr="00D232DD">
              <w:rPr>
                <w:rFonts w:cs="Calibri"/>
              </w:rPr>
              <w:t>Pendapatan</w:t>
            </w:r>
          </w:p>
        </w:tc>
        <w:tc>
          <w:tcPr>
            <w:tcW w:w="1417" w:type="dxa"/>
            <w:tcBorders>
              <w:top w:val="nil"/>
              <w:left w:val="nil"/>
              <w:bottom w:val="nil"/>
              <w:right w:val="nil"/>
            </w:tcBorders>
          </w:tcPr>
          <w:p w:rsidR="00FC79F4" w:rsidRPr="00D232DD" w:rsidRDefault="00FC79F4" w:rsidP="00BC331A">
            <w:pPr>
              <w:jc w:val="center"/>
              <w:rPr>
                <w:rFonts w:cs="Calibri"/>
              </w:rPr>
            </w:pPr>
            <w:r w:rsidRPr="00D232DD">
              <w:rPr>
                <w:rFonts w:cs="Calibri"/>
              </w:rPr>
              <w:t>-.214</w:t>
            </w:r>
          </w:p>
        </w:tc>
        <w:tc>
          <w:tcPr>
            <w:tcW w:w="1560" w:type="dxa"/>
            <w:tcBorders>
              <w:top w:val="nil"/>
              <w:left w:val="nil"/>
              <w:bottom w:val="nil"/>
              <w:right w:val="nil"/>
            </w:tcBorders>
            <w:hideMark/>
          </w:tcPr>
          <w:p w:rsidR="00FC79F4" w:rsidRPr="00D232DD" w:rsidRDefault="00FC79F4" w:rsidP="00BC331A">
            <w:pPr>
              <w:jc w:val="center"/>
              <w:rPr>
                <w:rFonts w:cs="Calibri"/>
              </w:rPr>
            </w:pPr>
            <w:r w:rsidRPr="00D232DD">
              <w:rPr>
                <w:rFonts w:cs="Calibri"/>
              </w:rPr>
              <w:t xml:space="preserve"> .220</w:t>
            </w:r>
          </w:p>
        </w:tc>
      </w:tr>
      <w:tr w:rsidR="00FC79F4" w:rsidTr="00BC331A">
        <w:trPr>
          <w:trHeight w:val="221"/>
          <w:jc w:val="center"/>
        </w:trPr>
        <w:tc>
          <w:tcPr>
            <w:tcW w:w="1985" w:type="dxa"/>
            <w:tcBorders>
              <w:top w:val="nil"/>
              <w:left w:val="nil"/>
              <w:bottom w:val="nil"/>
              <w:right w:val="nil"/>
            </w:tcBorders>
            <w:hideMark/>
          </w:tcPr>
          <w:p w:rsidR="00FC79F4" w:rsidRPr="00D232DD" w:rsidRDefault="00FC79F4" w:rsidP="00BC331A">
            <w:pPr>
              <w:ind w:left="-113"/>
              <w:rPr>
                <w:rFonts w:ascii="Calibri" w:eastAsia="SimSun" w:hAnsi="Calibri" w:cs="Calibri"/>
              </w:rPr>
            </w:pPr>
            <w:r w:rsidRPr="00D232DD">
              <w:rPr>
                <w:rFonts w:cs="Calibri"/>
              </w:rPr>
              <w:t>Usia</w:t>
            </w:r>
          </w:p>
        </w:tc>
        <w:tc>
          <w:tcPr>
            <w:tcW w:w="1417" w:type="dxa"/>
            <w:tcBorders>
              <w:top w:val="nil"/>
              <w:left w:val="nil"/>
              <w:bottom w:val="nil"/>
              <w:right w:val="nil"/>
            </w:tcBorders>
          </w:tcPr>
          <w:p w:rsidR="00FC79F4" w:rsidRPr="00D232DD" w:rsidRDefault="00FC79F4" w:rsidP="00BC331A">
            <w:pPr>
              <w:jc w:val="center"/>
              <w:rPr>
                <w:rFonts w:cs="Calibri"/>
              </w:rPr>
            </w:pPr>
            <w:r w:rsidRPr="00D232DD">
              <w:rPr>
                <w:rFonts w:cs="Calibri"/>
              </w:rPr>
              <w:t>.360</w:t>
            </w:r>
            <w:r w:rsidRPr="00D232DD">
              <w:rPr>
                <w:rFonts w:cs="Calibri"/>
                <w:vertAlign w:val="superscript"/>
              </w:rPr>
              <w:t>*</w:t>
            </w:r>
          </w:p>
        </w:tc>
        <w:tc>
          <w:tcPr>
            <w:tcW w:w="1560" w:type="dxa"/>
            <w:tcBorders>
              <w:top w:val="nil"/>
              <w:left w:val="nil"/>
              <w:bottom w:val="nil"/>
              <w:right w:val="nil"/>
            </w:tcBorders>
            <w:hideMark/>
          </w:tcPr>
          <w:p w:rsidR="00FC79F4" w:rsidRPr="00D232DD" w:rsidRDefault="00FC79F4" w:rsidP="00BC331A">
            <w:pPr>
              <w:jc w:val="center"/>
              <w:rPr>
                <w:rFonts w:cs="Calibri"/>
              </w:rPr>
            </w:pPr>
            <w:r w:rsidRPr="00D232DD">
              <w:rPr>
                <w:rFonts w:cs="Calibri"/>
              </w:rPr>
              <w:t xml:space="preserve"> .196</w:t>
            </w:r>
          </w:p>
        </w:tc>
      </w:tr>
      <w:tr w:rsidR="00FC79F4" w:rsidTr="00BC331A">
        <w:trPr>
          <w:trHeight w:val="139"/>
          <w:jc w:val="center"/>
        </w:trPr>
        <w:tc>
          <w:tcPr>
            <w:tcW w:w="1985" w:type="dxa"/>
            <w:tcBorders>
              <w:top w:val="nil"/>
              <w:left w:val="nil"/>
              <w:bottom w:val="single" w:sz="4" w:space="0" w:color="auto"/>
              <w:right w:val="nil"/>
            </w:tcBorders>
            <w:hideMark/>
          </w:tcPr>
          <w:p w:rsidR="00FC79F4" w:rsidRPr="00D232DD" w:rsidRDefault="00FC79F4" w:rsidP="00BC331A">
            <w:pPr>
              <w:ind w:left="-113"/>
              <w:rPr>
                <w:rFonts w:ascii="Calibri" w:eastAsia="SimSun" w:hAnsi="Calibri" w:cs="Calibri"/>
                <w:i/>
                <w:iCs/>
              </w:rPr>
            </w:pPr>
            <w:r w:rsidRPr="00D232DD">
              <w:rPr>
                <w:rFonts w:cs="Calibri"/>
                <w:i/>
                <w:iCs/>
              </w:rPr>
              <w:t>Cons.</w:t>
            </w:r>
          </w:p>
        </w:tc>
        <w:tc>
          <w:tcPr>
            <w:tcW w:w="1417" w:type="dxa"/>
            <w:tcBorders>
              <w:top w:val="nil"/>
              <w:left w:val="nil"/>
              <w:bottom w:val="single" w:sz="4" w:space="0" w:color="auto"/>
              <w:right w:val="nil"/>
            </w:tcBorders>
          </w:tcPr>
          <w:p w:rsidR="00FC79F4" w:rsidRPr="00D232DD" w:rsidRDefault="00FC79F4" w:rsidP="00BC331A">
            <w:pPr>
              <w:jc w:val="center"/>
              <w:rPr>
                <w:rFonts w:cs="Calibri"/>
              </w:rPr>
            </w:pPr>
            <w:r>
              <w:rPr>
                <w:rFonts w:cs="Calibri"/>
              </w:rPr>
              <w:t>-.274</w:t>
            </w:r>
          </w:p>
        </w:tc>
        <w:tc>
          <w:tcPr>
            <w:tcW w:w="1560" w:type="dxa"/>
            <w:tcBorders>
              <w:top w:val="nil"/>
              <w:left w:val="nil"/>
              <w:bottom w:val="single" w:sz="4" w:space="0" w:color="auto"/>
              <w:right w:val="nil"/>
            </w:tcBorders>
            <w:hideMark/>
          </w:tcPr>
          <w:p w:rsidR="00FC79F4" w:rsidRPr="00D232DD" w:rsidRDefault="00FC79F4" w:rsidP="00BC331A">
            <w:pPr>
              <w:jc w:val="center"/>
              <w:rPr>
                <w:rFonts w:cs="Calibri"/>
              </w:rPr>
            </w:pPr>
            <w:r w:rsidRPr="00D232DD">
              <w:rPr>
                <w:rFonts w:cs="Calibri"/>
              </w:rPr>
              <w:t xml:space="preserve"> 2.66</w:t>
            </w:r>
          </w:p>
        </w:tc>
      </w:tr>
    </w:tbl>
    <w:p w:rsidR="00583442" w:rsidRPr="00583442" w:rsidRDefault="00583442" w:rsidP="00583442">
      <w:pPr>
        <w:spacing w:line="360" w:lineRule="auto"/>
        <w:ind w:left="1418" w:right="113"/>
        <w:jc w:val="both"/>
        <w:rPr>
          <w:szCs w:val="24"/>
        </w:rPr>
      </w:pPr>
      <w:r w:rsidRPr="00583442">
        <w:rPr>
          <w:szCs w:val="24"/>
        </w:rPr>
        <w:t>Sumber: data primer</w:t>
      </w:r>
      <w:r>
        <w:rPr>
          <w:szCs w:val="24"/>
        </w:rPr>
        <w:t xml:space="preserve"> yang</w:t>
      </w:r>
      <w:r w:rsidRPr="00583442">
        <w:rPr>
          <w:szCs w:val="24"/>
        </w:rPr>
        <w:t xml:space="preserve"> </w:t>
      </w:r>
      <w:r>
        <w:rPr>
          <w:szCs w:val="24"/>
        </w:rPr>
        <w:t xml:space="preserve">diolah </w:t>
      </w:r>
      <w:r w:rsidRPr="00583442">
        <w:rPr>
          <w:szCs w:val="24"/>
        </w:rPr>
        <w:t>(2020)</w:t>
      </w:r>
    </w:p>
    <w:p w:rsidR="00FC79F4" w:rsidRDefault="00FC79F4" w:rsidP="00583442">
      <w:pPr>
        <w:ind w:left="1418" w:right="1572"/>
        <w:rPr>
          <w:rFonts w:ascii="Calibri" w:hAnsi="Calibri"/>
          <w:sz w:val="22"/>
          <w:szCs w:val="22"/>
        </w:rPr>
      </w:pPr>
      <w:r>
        <w:rPr>
          <w:rFonts w:cs="Calibri"/>
        </w:rPr>
        <w:t xml:space="preserve">Keterangan: Tanda </w:t>
      </w:r>
      <w:r>
        <w:rPr>
          <w:rFonts w:cs="Calibri"/>
          <w:vertAlign w:val="superscript"/>
        </w:rPr>
        <w:t>***</w:t>
      </w:r>
      <w:r>
        <w:rPr>
          <w:rFonts w:cs="Calibri"/>
        </w:rPr>
        <w:t xml:space="preserve">, </w:t>
      </w:r>
      <w:r>
        <w:rPr>
          <w:rFonts w:cs="Calibri"/>
          <w:vertAlign w:val="superscript"/>
        </w:rPr>
        <w:t>**</w:t>
      </w:r>
      <w:r>
        <w:rPr>
          <w:rFonts w:cs="Calibri"/>
        </w:rPr>
        <w:t xml:space="preserve">, </w:t>
      </w:r>
      <w:r>
        <w:rPr>
          <w:rFonts w:cs="Calibri"/>
          <w:vertAlign w:val="superscript"/>
        </w:rPr>
        <w:t xml:space="preserve">* </w:t>
      </w:r>
      <w:r>
        <w:rPr>
          <w:rFonts w:cs="Calibri"/>
        </w:rPr>
        <w:t>menyatakan tingkat signifikansi 1%, 5% dan 10%.</w:t>
      </w:r>
    </w:p>
    <w:p w:rsidR="00FC79F4" w:rsidRDefault="00FC79F4" w:rsidP="00FC79F4">
      <w:pPr>
        <w:spacing w:line="360" w:lineRule="auto"/>
        <w:ind w:right="113" w:firstLine="588"/>
        <w:jc w:val="center"/>
        <w:rPr>
          <w:rFonts w:cs="Calibri"/>
          <w:b/>
          <w:color w:val="000000"/>
          <w:sz w:val="24"/>
          <w:shd w:val="clear" w:color="auto" w:fill="FFFFFF"/>
        </w:rPr>
      </w:pPr>
    </w:p>
    <w:p w:rsidR="00FC79F4" w:rsidRDefault="00FC79F4" w:rsidP="00FC79F4">
      <w:pPr>
        <w:spacing w:line="360" w:lineRule="auto"/>
        <w:ind w:right="113" w:firstLine="588"/>
        <w:jc w:val="center"/>
        <w:rPr>
          <w:sz w:val="24"/>
          <w:szCs w:val="24"/>
        </w:rPr>
      </w:pPr>
      <w:r w:rsidRPr="00BC21C6">
        <w:rPr>
          <w:rFonts w:cs="Calibri"/>
          <w:b/>
          <w:color w:val="000000"/>
          <w:sz w:val="24"/>
          <w:shd w:val="clear" w:color="auto" w:fill="FFFFFF"/>
        </w:rPr>
        <w:t>Tabel</w:t>
      </w:r>
      <w:r>
        <w:rPr>
          <w:rFonts w:cs="Calibri"/>
          <w:b/>
          <w:color w:val="000000"/>
          <w:sz w:val="24"/>
          <w:shd w:val="clear" w:color="auto" w:fill="FFFFFF"/>
        </w:rPr>
        <w:t xml:space="preserve"> 8. Tingkatan literasi keuangan dan probabilitas berkonsultasi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gridCol w:w="147"/>
      </w:tblGrid>
      <w:tr w:rsidR="00FC79F4" w:rsidTr="00FC79F4">
        <w:trPr>
          <w:jc w:val="center"/>
        </w:trPr>
        <w:tc>
          <w:tcPr>
            <w:tcW w:w="2547" w:type="dxa"/>
            <w:tcBorders>
              <w:top w:val="single" w:sz="4" w:space="0" w:color="auto"/>
              <w:bottom w:val="single" w:sz="4" w:space="0" w:color="auto"/>
            </w:tcBorders>
          </w:tcPr>
          <w:p w:rsidR="00FC79F4" w:rsidRPr="00FC79F4" w:rsidRDefault="00FC79F4" w:rsidP="00FC79F4">
            <w:pPr>
              <w:ind w:right="113"/>
              <w:jc w:val="center"/>
              <w:rPr>
                <w:b/>
              </w:rPr>
            </w:pPr>
            <w:r w:rsidRPr="00FC79F4">
              <w:rPr>
                <w:b/>
              </w:rPr>
              <w:t>Jumlah jawaban benar</w:t>
            </w:r>
          </w:p>
        </w:tc>
        <w:tc>
          <w:tcPr>
            <w:tcW w:w="2698" w:type="dxa"/>
            <w:gridSpan w:val="2"/>
            <w:tcBorders>
              <w:top w:val="single" w:sz="4" w:space="0" w:color="auto"/>
              <w:bottom w:val="single" w:sz="4" w:space="0" w:color="auto"/>
            </w:tcBorders>
          </w:tcPr>
          <w:p w:rsidR="00FC79F4" w:rsidRPr="00FC79F4" w:rsidRDefault="00FC79F4" w:rsidP="00FC79F4">
            <w:pPr>
              <w:ind w:right="113"/>
              <w:jc w:val="center"/>
              <w:rPr>
                <w:b/>
              </w:rPr>
            </w:pPr>
            <w:r w:rsidRPr="00FC79F4">
              <w:rPr>
                <w:b/>
              </w:rPr>
              <w:t>Probabilitas berkonsultasi</w:t>
            </w:r>
          </w:p>
        </w:tc>
      </w:tr>
      <w:tr w:rsidR="00FC79F4" w:rsidTr="00FC79F4">
        <w:trPr>
          <w:gridAfter w:val="1"/>
          <w:wAfter w:w="147" w:type="dxa"/>
          <w:jc w:val="center"/>
        </w:trPr>
        <w:tc>
          <w:tcPr>
            <w:tcW w:w="2547" w:type="dxa"/>
            <w:tcBorders>
              <w:top w:val="single" w:sz="4" w:space="0" w:color="auto"/>
            </w:tcBorders>
          </w:tcPr>
          <w:p w:rsidR="00FC79F4" w:rsidRPr="00FC79F4" w:rsidRDefault="00FC79F4" w:rsidP="00583442">
            <w:r w:rsidRPr="00FC79F4">
              <w:t>Lima jawaban benar</w:t>
            </w:r>
          </w:p>
        </w:tc>
        <w:tc>
          <w:tcPr>
            <w:tcW w:w="2551" w:type="dxa"/>
            <w:tcBorders>
              <w:top w:val="single" w:sz="4" w:space="0" w:color="auto"/>
            </w:tcBorders>
            <w:vAlign w:val="center"/>
          </w:tcPr>
          <w:p w:rsidR="00FC79F4" w:rsidRPr="00FC79F4" w:rsidRDefault="00FC79F4" w:rsidP="00FC79F4">
            <w:pPr>
              <w:jc w:val="center"/>
              <w:rPr>
                <w:color w:val="000000"/>
              </w:rPr>
            </w:pPr>
            <w:r w:rsidRPr="00FC79F4">
              <w:rPr>
                <w:color w:val="000000"/>
              </w:rPr>
              <w:t>0.86861</w:t>
            </w:r>
          </w:p>
        </w:tc>
      </w:tr>
      <w:tr w:rsidR="00FC79F4" w:rsidTr="00FC79F4">
        <w:trPr>
          <w:gridAfter w:val="1"/>
          <w:wAfter w:w="147" w:type="dxa"/>
          <w:jc w:val="center"/>
        </w:trPr>
        <w:tc>
          <w:tcPr>
            <w:tcW w:w="2547" w:type="dxa"/>
          </w:tcPr>
          <w:p w:rsidR="00FC79F4" w:rsidRPr="00FC79F4" w:rsidRDefault="00FC79F4" w:rsidP="00583442">
            <w:r w:rsidRPr="00FC79F4">
              <w:t>Empat jawaban benar</w:t>
            </w:r>
          </w:p>
        </w:tc>
        <w:tc>
          <w:tcPr>
            <w:tcW w:w="2551" w:type="dxa"/>
            <w:vAlign w:val="center"/>
          </w:tcPr>
          <w:p w:rsidR="00FC79F4" w:rsidRPr="00FC79F4" w:rsidRDefault="00FC79F4" w:rsidP="00FC79F4">
            <w:pPr>
              <w:jc w:val="center"/>
              <w:rPr>
                <w:color w:val="000000"/>
              </w:rPr>
            </w:pPr>
            <w:r w:rsidRPr="00FC79F4">
              <w:rPr>
                <w:color w:val="000000"/>
              </w:rPr>
              <w:t>0.68160</w:t>
            </w:r>
          </w:p>
        </w:tc>
      </w:tr>
      <w:tr w:rsidR="00FC79F4" w:rsidTr="00FC79F4">
        <w:trPr>
          <w:gridAfter w:val="1"/>
          <w:wAfter w:w="147" w:type="dxa"/>
          <w:jc w:val="center"/>
        </w:trPr>
        <w:tc>
          <w:tcPr>
            <w:tcW w:w="2547" w:type="dxa"/>
          </w:tcPr>
          <w:p w:rsidR="00FC79F4" w:rsidRPr="00FC79F4" w:rsidRDefault="00FC79F4" w:rsidP="00583442">
            <w:r w:rsidRPr="00FC79F4">
              <w:t>Tiga jawaban benar</w:t>
            </w:r>
          </w:p>
        </w:tc>
        <w:tc>
          <w:tcPr>
            <w:tcW w:w="2551" w:type="dxa"/>
            <w:vAlign w:val="center"/>
          </w:tcPr>
          <w:p w:rsidR="00FC79F4" w:rsidRPr="00FC79F4" w:rsidRDefault="00FC79F4" w:rsidP="00FC79F4">
            <w:pPr>
              <w:jc w:val="center"/>
              <w:rPr>
                <w:color w:val="000000"/>
              </w:rPr>
            </w:pPr>
            <w:r w:rsidRPr="00FC79F4">
              <w:rPr>
                <w:color w:val="000000"/>
              </w:rPr>
              <w:t>0.34765</w:t>
            </w:r>
          </w:p>
        </w:tc>
      </w:tr>
      <w:tr w:rsidR="00FC79F4" w:rsidTr="00FC79F4">
        <w:trPr>
          <w:gridAfter w:val="1"/>
          <w:wAfter w:w="147" w:type="dxa"/>
          <w:jc w:val="center"/>
        </w:trPr>
        <w:tc>
          <w:tcPr>
            <w:tcW w:w="2547" w:type="dxa"/>
          </w:tcPr>
          <w:p w:rsidR="00FC79F4" w:rsidRPr="00FC79F4" w:rsidRDefault="00FC79F4" w:rsidP="00583442">
            <w:pPr>
              <w:ind w:right="113"/>
            </w:pPr>
            <w:r w:rsidRPr="00FC79F4">
              <w:t>Dua jawaban benar</w:t>
            </w:r>
          </w:p>
        </w:tc>
        <w:tc>
          <w:tcPr>
            <w:tcW w:w="2551" w:type="dxa"/>
            <w:vAlign w:val="center"/>
          </w:tcPr>
          <w:p w:rsidR="00FC79F4" w:rsidRPr="00FC79F4" w:rsidRDefault="00FC79F4" w:rsidP="00FC79F4">
            <w:pPr>
              <w:jc w:val="center"/>
              <w:rPr>
                <w:color w:val="000000"/>
              </w:rPr>
            </w:pPr>
            <w:r w:rsidRPr="00FC79F4">
              <w:rPr>
                <w:color w:val="000000"/>
              </w:rPr>
              <w:t>0.11727</w:t>
            </w:r>
          </w:p>
        </w:tc>
      </w:tr>
      <w:tr w:rsidR="00FC79F4" w:rsidTr="00FC79F4">
        <w:trPr>
          <w:gridAfter w:val="1"/>
          <w:wAfter w:w="147" w:type="dxa"/>
          <w:jc w:val="center"/>
        </w:trPr>
        <w:tc>
          <w:tcPr>
            <w:tcW w:w="2547" w:type="dxa"/>
          </w:tcPr>
          <w:p w:rsidR="00FC79F4" w:rsidRPr="00FC79F4" w:rsidRDefault="00FC79F4" w:rsidP="00583442">
            <w:pPr>
              <w:ind w:right="113"/>
            </w:pPr>
            <w:r w:rsidRPr="00FC79F4">
              <w:t>Satu jawaban benar</w:t>
            </w:r>
          </w:p>
        </w:tc>
        <w:tc>
          <w:tcPr>
            <w:tcW w:w="2551" w:type="dxa"/>
            <w:vAlign w:val="center"/>
          </w:tcPr>
          <w:p w:rsidR="00FC79F4" w:rsidRPr="00FC79F4" w:rsidRDefault="00FC79F4" w:rsidP="00FC79F4">
            <w:pPr>
              <w:jc w:val="center"/>
              <w:rPr>
                <w:color w:val="000000"/>
              </w:rPr>
            </w:pPr>
            <w:r w:rsidRPr="00FC79F4">
              <w:rPr>
                <w:color w:val="000000"/>
              </w:rPr>
              <w:t>0.04743</w:t>
            </w:r>
          </w:p>
        </w:tc>
      </w:tr>
      <w:tr w:rsidR="00FC79F4" w:rsidTr="00FC79F4">
        <w:trPr>
          <w:gridAfter w:val="1"/>
          <w:wAfter w:w="147" w:type="dxa"/>
          <w:jc w:val="center"/>
        </w:trPr>
        <w:tc>
          <w:tcPr>
            <w:tcW w:w="2547" w:type="dxa"/>
            <w:tcBorders>
              <w:bottom w:val="single" w:sz="4" w:space="0" w:color="auto"/>
            </w:tcBorders>
          </w:tcPr>
          <w:p w:rsidR="00FC79F4" w:rsidRPr="00FC79F4" w:rsidRDefault="00FC79F4" w:rsidP="00583442">
            <w:pPr>
              <w:ind w:right="113"/>
            </w:pPr>
            <w:r w:rsidRPr="00FC79F4">
              <w:t>Tidak ada jawaban benar</w:t>
            </w:r>
          </w:p>
        </w:tc>
        <w:tc>
          <w:tcPr>
            <w:tcW w:w="2551" w:type="dxa"/>
            <w:tcBorders>
              <w:bottom w:val="single" w:sz="4" w:space="0" w:color="auto"/>
            </w:tcBorders>
            <w:vAlign w:val="center"/>
          </w:tcPr>
          <w:p w:rsidR="00FC79F4" w:rsidRPr="00FC79F4" w:rsidRDefault="00FC79F4" w:rsidP="00FC79F4">
            <w:pPr>
              <w:jc w:val="center"/>
              <w:rPr>
                <w:color w:val="000000"/>
              </w:rPr>
            </w:pPr>
            <w:r w:rsidRPr="00FC79F4">
              <w:rPr>
                <w:color w:val="000000"/>
              </w:rPr>
              <w:t>0.00050</w:t>
            </w:r>
          </w:p>
        </w:tc>
      </w:tr>
    </w:tbl>
    <w:p w:rsidR="006B1187" w:rsidRPr="00583442" w:rsidRDefault="00583442" w:rsidP="00583442">
      <w:pPr>
        <w:spacing w:line="360" w:lineRule="auto"/>
        <w:ind w:left="1276" w:right="113"/>
        <w:jc w:val="both"/>
        <w:rPr>
          <w:szCs w:val="24"/>
        </w:rPr>
      </w:pPr>
      <w:r w:rsidRPr="00583442">
        <w:rPr>
          <w:szCs w:val="24"/>
        </w:rPr>
        <w:t xml:space="preserve">Sumber: data primer </w:t>
      </w:r>
      <w:r>
        <w:rPr>
          <w:szCs w:val="24"/>
        </w:rPr>
        <w:t xml:space="preserve"> yang diolah </w:t>
      </w:r>
      <w:r w:rsidRPr="00583442">
        <w:rPr>
          <w:szCs w:val="24"/>
        </w:rPr>
        <w:t>(2020)</w:t>
      </w:r>
    </w:p>
    <w:p w:rsidR="00AB78DB" w:rsidRDefault="008774C0" w:rsidP="005B02B1">
      <w:pPr>
        <w:spacing w:line="360" w:lineRule="auto"/>
        <w:ind w:right="112" w:firstLine="720"/>
        <w:jc w:val="both"/>
        <w:rPr>
          <w:sz w:val="24"/>
          <w:szCs w:val="24"/>
        </w:rPr>
      </w:pPr>
      <w:r>
        <w:rPr>
          <w:sz w:val="24"/>
          <w:szCs w:val="24"/>
        </w:rPr>
        <w:t xml:space="preserve">Berbeda dengan literasi keuangan yang mempengaruhi keputusan berkonsultasi secara positif, </w:t>
      </w:r>
      <w:r w:rsidR="006B1187">
        <w:rPr>
          <w:sz w:val="24"/>
          <w:szCs w:val="24"/>
        </w:rPr>
        <w:t xml:space="preserve">Tabel 7 menunjukkan bahwa </w:t>
      </w:r>
      <w:r w:rsidR="00AD528D">
        <w:rPr>
          <w:sz w:val="24"/>
          <w:szCs w:val="24"/>
        </w:rPr>
        <w:t xml:space="preserve">kepercayaan diri </w:t>
      </w:r>
      <w:r>
        <w:rPr>
          <w:sz w:val="24"/>
          <w:szCs w:val="24"/>
        </w:rPr>
        <w:t>atas literasi keuangan</w:t>
      </w:r>
      <w:r w:rsidR="005B02B1">
        <w:rPr>
          <w:sz w:val="24"/>
          <w:szCs w:val="24"/>
        </w:rPr>
        <w:t xml:space="preserve"> justru </w:t>
      </w:r>
      <w:r>
        <w:rPr>
          <w:sz w:val="24"/>
          <w:szCs w:val="24"/>
        </w:rPr>
        <w:t>berhubungan negatif dengan keputusan berkonsultasi</w:t>
      </w:r>
      <w:r w:rsidR="005B02B1">
        <w:rPr>
          <w:sz w:val="24"/>
          <w:szCs w:val="24"/>
        </w:rPr>
        <w:t>.</w:t>
      </w:r>
      <w:r>
        <w:rPr>
          <w:sz w:val="24"/>
          <w:szCs w:val="24"/>
        </w:rPr>
        <w:t xml:space="preserve"> </w:t>
      </w:r>
      <w:r w:rsidR="007F086F">
        <w:rPr>
          <w:sz w:val="24"/>
          <w:szCs w:val="24"/>
        </w:rPr>
        <w:t>Nilai rata-rata dan a</w:t>
      </w:r>
      <w:r>
        <w:rPr>
          <w:sz w:val="24"/>
          <w:szCs w:val="24"/>
        </w:rPr>
        <w:t>rah</w:t>
      </w:r>
      <w:r w:rsidR="007F086F">
        <w:rPr>
          <w:sz w:val="24"/>
          <w:szCs w:val="24"/>
        </w:rPr>
        <w:t xml:space="preserve"> hubungan dengan keputusan berkonsultasi </w:t>
      </w:r>
      <w:r>
        <w:rPr>
          <w:sz w:val="24"/>
          <w:szCs w:val="24"/>
        </w:rPr>
        <w:t xml:space="preserve">yang </w:t>
      </w:r>
      <w:r w:rsidR="007F086F">
        <w:rPr>
          <w:sz w:val="24"/>
          <w:szCs w:val="24"/>
        </w:rPr>
        <w:t>berkebalikan menunjukkan b</w:t>
      </w:r>
      <w:r>
        <w:rPr>
          <w:sz w:val="24"/>
          <w:szCs w:val="24"/>
        </w:rPr>
        <w:t>a</w:t>
      </w:r>
      <w:r w:rsidR="007F086F">
        <w:rPr>
          <w:sz w:val="24"/>
          <w:szCs w:val="24"/>
        </w:rPr>
        <w:t>h</w:t>
      </w:r>
      <w:r>
        <w:rPr>
          <w:sz w:val="24"/>
          <w:szCs w:val="24"/>
        </w:rPr>
        <w:t xml:space="preserve">wa secara rata-rata responden memiliki kecenderungan untuk melebih-lebihkan kemampuannya. </w:t>
      </w:r>
      <w:r w:rsidR="007F086F">
        <w:rPr>
          <w:sz w:val="24"/>
          <w:szCs w:val="24"/>
        </w:rPr>
        <w:t xml:space="preserve">Dengan kata lain, </w:t>
      </w:r>
      <w:r w:rsidR="007F086F">
        <w:rPr>
          <w:sz w:val="24"/>
          <w:szCs w:val="24"/>
        </w:rPr>
        <w:lastRenderedPageBreak/>
        <w:t xml:space="preserve">individu gagal mengenali kemampuan dirinya </w:t>
      </w:r>
      <w:r w:rsidR="007F086F">
        <w:rPr>
          <w:sz w:val="24"/>
          <w:szCs w:val="24"/>
        </w:rPr>
        <w:fldChar w:fldCharType="begin" w:fldLock="1"/>
      </w:r>
      <w:r w:rsidR="00587F48">
        <w:rPr>
          <w:sz w:val="24"/>
          <w:szCs w:val="24"/>
        </w:rPr>
        <w:instrText>ADDIN CSL_CITATION {"citationItems":[{"id":"ITEM-1","itemData":{"DOI":"10.1016/B978-0-12-385522-0.00005-6","ISBN":"9780123855220","ISSN":"00652601","abstract":"In this chapter, I provide argument and evidence that the scope of people's ignorance is often invisible to them. This meta-ignorance (or ignorance of ignorance) arises because lack of expertise and knowledge often hides in the realm of the \"unknown unknowns\" or is disguised by erroneous beliefs and background knowledge that only appear to be sufficient to conclude a right answer. As empirical evidence of meta-ignorance, I describe the Dunning-Kruger effect, in which poor performers in many social and intellectual domains seem largely unaware of just how deficient their expertise is. Their deficits leave them with a double burden-not only does their incomplete and misguided knowledge lead them to make mistakes but those exact same deficits also prevent them from recognizing when they are making mistakes and other people choosing more wisely. I discuss theoretical controversies over the interpretation of this effect and describe how the self-evaluation errors of poor and top performers differ. I also address a vexing question: If self-perceptions of competence so often vary from the truth, what cues are people using to determine whether their conclusions are sound or faulty? © 2011 Elsevier Inc.","author":[{"dropping-particle":"","family":"Dunning","given":"David","non-dropping-particle":"","parse-names":false,"suffix":""}],"container-title":"Advances in Experimental Social Psychology","edition":"1","editor":[{"dropping-particle":"","family":"Olson","given":"James M.","non-dropping-particle":"","parse-names":false,"suffix":""},{"dropping-particle":"","family":"Zanna","given":"Mark P.","non-dropping-particle":"","parse-names":false,"suffix":""}],"id":"ITEM-1","issued":{"date-parts":[["2011"]]},"page":"247-296","publisher":"Elsevier Inc.","title":"The dunning-kruger effect: On being ignorant of one's own ignorance","type":"chapter","volume":"44"},"uris":["http://www.mendeley.com/documents/?uuid=018e299d-d248-4820-81f5-b71a5aab007e"]}],"mendeley":{"formattedCitation":"(Dunning 2011)","plainTextFormattedCitation":"(Dunning 2011)","previouslyFormattedCitation":"(Dunning 2011)"},"properties":{"noteIndex":0},"schema":"https://github.com/citation-style-language/schema/raw/master/csl-citation.json"}</w:instrText>
      </w:r>
      <w:r w:rsidR="007F086F">
        <w:rPr>
          <w:sz w:val="24"/>
          <w:szCs w:val="24"/>
        </w:rPr>
        <w:fldChar w:fldCharType="separate"/>
      </w:r>
      <w:r w:rsidR="007F086F" w:rsidRPr="007F086F">
        <w:rPr>
          <w:noProof/>
          <w:sz w:val="24"/>
          <w:szCs w:val="24"/>
        </w:rPr>
        <w:t>(Dunning 2011)</w:t>
      </w:r>
      <w:r w:rsidR="007F086F">
        <w:rPr>
          <w:sz w:val="24"/>
          <w:szCs w:val="24"/>
        </w:rPr>
        <w:fldChar w:fldCharType="end"/>
      </w:r>
      <w:r w:rsidR="007F086F">
        <w:rPr>
          <w:sz w:val="24"/>
          <w:szCs w:val="24"/>
        </w:rPr>
        <w:t xml:space="preserve"> dan merasa tidak membutuhkan peran konsultan profesional. </w:t>
      </w:r>
    </w:p>
    <w:p w:rsidR="0071607D" w:rsidRPr="0071607D" w:rsidRDefault="007F086F" w:rsidP="0071607D">
      <w:pPr>
        <w:spacing w:line="360" w:lineRule="auto"/>
        <w:ind w:right="112" w:firstLine="720"/>
        <w:jc w:val="both"/>
        <w:rPr>
          <w:sz w:val="24"/>
          <w:szCs w:val="24"/>
        </w:rPr>
      </w:pPr>
      <w:r>
        <w:rPr>
          <w:sz w:val="24"/>
          <w:szCs w:val="24"/>
        </w:rPr>
        <w:t xml:space="preserve">Usia berhubungan poitif dengan keputusan berkonsultasi. Sesuai dengan </w:t>
      </w:r>
      <w:r w:rsidR="00587F48">
        <w:rPr>
          <w:sz w:val="24"/>
          <w:szCs w:val="24"/>
        </w:rPr>
        <w:fldChar w:fldCharType="begin" w:fldLock="1"/>
      </w:r>
      <w:r w:rsidR="00DE62D3">
        <w:rPr>
          <w:sz w:val="24"/>
          <w:szCs w:val="24"/>
        </w:rPr>
        <w:instrText>ADDIN CSL_CITATION {"citationItems":[{"id":"ITEM-1","itemData":{"DOI":"10.1016/j.pacfin.2017.04.002","ISSN":"0927538X","abstract":"A logistic regression model was used to investigate the effects of financial literacy, financial advisors, and information sources on life insurance participation. Our empirical findings suggest that people with high financial literacy are more likely to purchase life insurance and that consultations with financial advisors and conversations with family members and friends are both positively associated with the demand for life insurance. Participant characteristics, such as age, gender, marital status, working status, and personal income, are also major factors affecting the demand for life insurance. Moreover, the Taiwan Financial Supervisory Commission education program can increase the demand for life insurance.","author":[{"dropping-particle":"","family":"Lin","given":"Chaonan","non-dropping-particle":"","parse-names":false,"suffix":""},{"dropping-particle":"","family":"Hsiao","given":"Yu Jen","non-dropping-particle":"","parse-names":false,"suffix":""},{"dropping-particle":"","family":"Yeh","given":"Cheng Yung","non-dropping-particle":"","parse-names":false,"suffix":""}],"container-title":"Pacific Basin Finance Journal","id":"ITEM-1","issue":"January 2016","issued":{"date-parts":[["2017"]]},"page":"218-237","publisher":"Elsevier","title":"Financial literacy, financial advisors, and information sources on demand for life insurance","type":"article-journal","volume":"43"},"uris":["http://www.mendeley.com/documents/?uuid=46789298-7a49-4834-a23b-b60f8d782f7d"]}],"mendeley":{"formattedCitation":"(Lin, Hsiao, and Yeh 2017)","manualFormatting":"Lin, Hsiao, dan Yeh (2017)","plainTextFormattedCitation":"(Lin, Hsiao, and Yeh 2017)","previouslyFormattedCitation":"(Lin, Hsiao, and Yeh 2017)"},"properties":{"noteIndex":0},"schema":"https://github.com/citation-style-language/schema/raw/master/csl-citation.json"}</w:instrText>
      </w:r>
      <w:r w:rsidR="00587F48">
        <w:rPr>
          <w:sz w:val="24"/>
          <w:szCs w:val="24"/>
        </w:rPr>
        <w:fldChar w:fldCharType="separate"/>
      </w:r>
      <w:r w:rsidR="00587F48" w:rsidRPr="00587F48">
        <w:rPr>
          <w:noProof/>
          <w:sz w:val="24"/>
          <w:szCs w:val="24"/>
        </w:rPr>
        <w:t>Lin, Hsiao, d</w:t>
      </w:r>
      <w:r w:rsidR="00587F48">
        <w:rPr>
          <w:noProof/>
          <w:sz w:val="24"/>
          <w:szCs w:val="24"/>
        </w:rPr>
        <w:t>an</w:t>
      </w:r>
      <w:r w:rsidR="00587F48" w:rsidRPr="00587F48">
        <w:rPr>
          <w:noProof/>
          <w:sz w:val="24"/>
          <w:szCs w:val="24"/>
        </w:rPr>
        <w:t xml:space="preserve"> Yeh </w:t>
      </w:r>
      <w:r w:rsidR="00587F48">
        <w:rPr>
          <w:noProof/>
          <w:sz w:val="24"/>
          <w:szCs w:val="24"/>
        </w:rPr>
        <w:t>(</w:t>
      </w:r>
      <w:r w:rsidR="00587F48" w:rsidRPr="00587F48">
        <w:rPr>
          <w:noProof/>
          <w:sz w:val="24"/>
          <w:szCs w:val="24"/>
        </w:rPr>
        <w:t>2017)</w:t>
      </w:r>
      <w:r w:rsidR="00587F48">
        <w:rPr>
          <w:sz w:val="24"/>
          <w:szCs w:val="24"/>
        </w:rPr>
        <w:fldChar w:fldCharType="end"/>
      </w:r>
      <w:r w:rsidR="00587F48">
        <w:rPr>
          <w:sz w:val="24"/>
          <w:szCs w:val="24"/>
        </w:rPr>
        <w:t xml:space="preserve"> individu dengan usia lebih tua membutuhkan peran konsultan sebagai “</w:t>
      </w:r>
      <w:r w:rsidR="00587F48" w:rsidRPr="00587F48">
        <w:rPr>
          <w:i/>
          <w:sz w:val="24"/>
          <w:szCs w:val="24"/>
        </w:rPr>
        <w:t>babysitters</w:t>
      </w:r>
      <w:r w:rsidR="00587F48">
        <w:rPr>
          <w:sz w:val="24"/>
          <w:szCs w:val="24"/>
        </w:rPr>
        <w:t xml:space="preserve">”. Konsultan profesional </w:t>
      </w:r>
      <w:r w:rsidR="002D1E24">
        <w:rPr>
          <w:sz w:val="24"/>
          <w:szCs w:val="24"/>
        </w:rPr>
        <w:t>bertindak sebagai</w:t>
      </w:r>
      <w:r w:rsidR="00587F48">
        <w:rPr>
          <w:sz w:val="24"/>
          <w:szCs w:val="24"/>
        </w:rPr>
        <w:t xml:space="preserve"> pengelola atas kekayaan yang telah dihasilkan selama </w:t>
      </w:r>
      <w:r w:rsidR="006B1187">
        <w:rPr>
          <w:sz w:val="24"/>
          <w:szCs w:val="24"/>
        </w:rPr>
        <w:t>ini.</w:t>
      </w:r>
      <w:r w:rsidR="002D1E24">
        <w:rPr>
          <w:sz w:val="24"/>
          <w:szCs w:val="24"/>
        </w:rPr>
        <w:t xml:space="preserve"> </w:t>
      </w:r>
      <w:r w:rsidR="006B1187">
        <w:rPr>
          <w:sz w:val="24"/>
          <w:szCs w:val="24"/>
        </w:rPr>
        <w:t>Umumnya, individu dengan usia yang lebih tua merasa memiliki keterbatasan dalam memahami perkembangan produk-produk keuangan yang sangat beragam dan berubah sangat cepat saat ini. Selain itu, individu ini memiliki orientasi pada pengamanan kekayaan sebagai bekal ketika nanti pensiun</w:t>
      </w:r>
      <w:r w:rsidR="00583442">
        <w:rPr>
          <w:sz w:val="24"/>
          <w:szCs w:val="24"/>
        </w:rPr>
        <w:t xml:space="preserve"> dibandingkan individu muda yang umumnya memiliki </w:t>
      </w:r>
      <w:r w:rsidR="00583442" w:rsidRPr="00583442">
        <w:rPr>
          <w:i/>
          <w:sz w:val="24"/>
          <w:szCs w:val="24"/>
        </w:rPr>
        <w:t>risk aversion</w:t>
      </w:r>
      <w:r w:rsidR="00583442">
        <w:rPr>
          <w:sz w:val="24"/>
          <w:szCs w:val="24"/>
        </w:rPr>
        <w:t xml:space="preserve"> yang lebih rendah</w:t>
      </w:r>
    </w:p>
    <w:p w:rsidR="00DB1C8F" w:rsidRDefault="0071607D" w:rsidP="0071607D">
      <w:pPr>
        <w:spacing w:line="360" w:lineRule="auto"/>
        <w:ind w:right="112" w:firstLine="540"/>
        <w:jc w:val="both"/>
        <w:rPr>
          <w:sz w:val="22"/>
          <w:szCs w:val="22"/>
        </w:rPr>
      </w:pPr>
      <w:r>
        <w:rPr>
          <w:sz w:val="24"/>
          <w:szCs w:val="24"/>
        </w:rPr>
        <w:t>.</w:t>
      </w:r>
      <w:r w:rsidR="00581B0F">
        <w:rPr>
          <w:sz w:val="22"/>
          <w:szCs w:val="22"/>
        </w:rPr>
        <w:t xml:space="preserve"> </w:t>
      </w:r>
    </w:p>
    <w:p w:rsidR="00581B0F" w:rsidRPr="00387A07" w:rsidRDefault="00581B0F" w:rsidP="00581B0F">
      <w:pPr>
        <w:pStyle w:val="Heading1"/>
        <w:numPr>
          <w:ilvl w:val="0"/>
          <w:numId w:val="0"/>
        </w:numPr>
        <w:spacing w:before="0" w:after="0" w:line="360" w:lineRule="auto"/>
        <w:ind w:left="720" w:hanging="720"/>
        <w:rPr>
          <w:rFonts w:ascii="Times New Roman" w:hAnsi="Times New Roman" w:cs="Times New Roman"/>
          <w:sz w:val="24"/>
          <w:szCs w:val="24"/>
        </w:rPr>
      </w:pPr>
      <w:r>
        <w:rPr>
          <w:rFonts w:ascii="Times New Roman" w:hAnsi="Times New Roman" w:cs="Times New Roman"/>
          <w:sz w:val="24"/>
          <w:szCs w:val="24"/>
        </w:rPr>
        <w:t>PENUTUP</w:t>
      </w:r>
      <w:r w:rsidRPr="00387A07">
        <w:rPr>
          <w:rFonts w:ascii="Times New Roman" w:hAnsi="Times New Roman" w:cs="Times New Roman"/>
          <w:sz w:val="24"/>
          <w:szCs w:val="24"/>
        </w:rPr>
        <w:t xml:space="preserve"> </w:t>
      </w:r>
    </w:p>
    <w:p w:rsidR="0071607D" w:rsidRDefault="0071607D" w:rsidP="0071607D">
      <w:pPr>
        <w:spacing w:line="360" w:lineRule="auto"/>
        <w:ind w:right="112" w:firstLine="540"/>
        <w:jc w:val="both"/>
        <w:rPr>
          <w:sz w:val="24"/>
          <w:szCs w:val="24"/>
        </w:rPr>
      </w:pPr>
      <w:r>
        <w:rPr>
          <w:sz w:val="24"/>
          <w:szCs w:val="24"/>
        </w:rPr>
        <w:t xml:space="preserve">Studi ini setidaknya menunjukkan dua hal penting yaitu bahwa: hubungan literasi keuangan dan keputusan berkonsultasi bersifat simultan serta literasi keuangan terinstrumentasi menjadi determinan dari keputusan berkonsultasi pada profesional. Artinya, proses konsultasi memberikan masukan pengetahuan bagi individu. Secara umum, konsultan ini akan mengarahkan individu untuk mengelola keuangan dengan lebih baik, meskipun saat ini independensi dari konsultan keuangan masih perlu diteliti lebihjauh </w:t>
      </w:r>
      <w:r>
        <w:rPr>
          <w:sz w:val="24"/>
          <w:szCs w:val="24"/>
        </w:rPr>
        <w:fldChar w:fldCharType="begin" w:fldLock="1"/>
      </w:r>
      <w:r w:rsidR="00C9706F">
        <w:rPr>
          <w:sz w:val="24"/>
          <w:szCs w:val="24"/>
        </w:rPr>
        <w:instrText>ADDIN CSL_CITATION {"citationItems":[{"id":"ITEM-1","itemData":{"DOI":"10.1016/j.jbankfin.2014.03.013","ISBN":"0378-4266","ISSN":"03784266","abstract":"The low level of financial literacy across households suggests that they are at risk of making suboptimal financial decisions. In this paper, we analyze the effect of investors' financial literacy on their decision to demand professional, non-independent advice. We find that non-independent advisors are not sufficient to alleviate the problem of low financial literacy. The investors with a low level of financial literacy are less likely to consult an advisor, but they delegate their portfolio choice more often or do not invest in risky assets at all. We explain this evidence with a highly stylized model of strategic interaction between investors and better informed advisors with conflicts of interests. The advisors provide more information to knowledgeable investors, who anticipating this are more likely to consult them.","author":[{"dropping-particle":"","family":"Calcagno","given":"Riccardo","non-dropping-particle":"","parse-names":false,"suffix":""},{"dropping-particle":"","family":"Monticone","given":"Chiara","non-dropping-particle":"","parse-names":false,"suffix":""}],"container-title":"Journal of Banking and Finance","id":"ITEM-1","issued":{"date-parts":[["2015"]]},"page":"363-380","publisher":"Elsevier B.V.","title":"Financial literacy and the demand for financial advice","type":"article-journal","volume":"50"},"uris":["http://www.mendeley.com/documents/?uuid=25a0ba1b-17fe-4b3a-aa06-8712c000c532"]}],"mendeley":{"formattedCitation":"(Calcagno and Monticone 2015)","manualFormatting":"(Calcagno dan Monticone 2015)","plainTextFormattedCitation":"(Calcagno and Monticone 2015)","previouslyFormattedCitation":"(Calcagno and Monticone 2015)"},"properties":{"noteIndex":0},"schema":"https://github.com/citation-style-language/schema/raw/master/csl-citation.json"}</w:instrText>
      </w:r>
      <w:r>
        <w:rPr>
          <w:sz w:val="24"/>
          <w:szCs w:val="24"/>
        </w:rPr>
        <w:fldChar w:fldCharType="separate"/>
      </w:r>
      <w:r>
        <w:rPr>
          <w:noProof/>
          <w:sz w:val="24"/>
          <w:szCs w:val="24"/>
        </w:rPr>
        <w:t>(Calcagno dan</w:t>
      </w:r>
      <w:r w:rsidRPr="00DE62D3">
        <w:rPr>
          <w:noProof/>
          <w:sz w:val="24"/>
          <w:szCs w:val="24"/>
        </w:rPr>
        <w:t xml:space="preserve"> Monticone 2015)</w:t>
      </w:r>
      <w:r>
        <w:rPr>
          <w:sz w:val="24"/>
          <w:szCs w:val="24"/>
        </w:rPr>
        <w:fldChar w:fldCharType="end"/>
      </w:r>
      <w:r>
        <w:rPr>
          <w:sz w:val="24"/>
          <w:szCs w:val="24"/>
        </w:rPr>
        <w:t>.</w:t>
      </w:r>
    </w:p>
    <w:p w:rsidR="0071607D" w:rsidRPr="0071607D" w:rsidRDefault="0071607D" w:rsidP="0071607D">
      <w:pPr>
        <w:spacing w:line="360" w:lineRule="auto"/>
        <w:ind w:right="112" w:firstLine="540"/>
        <w:jc w:val="both"/>
        <w:rPr>
          <w:sz w:val="24"/>
          <w:szCs w:val="24"/>
        </w:rPr>
      </w:pPr>
      <w:r>
        <w:rPr>
          <w:sz w:val="24"/>
          <w:szCs w:val="24"/>
        </w:rPr>
        <w:t xml:space="preserve">Temuan ini bermanfaat bagi pemangku kepentingan bahwa ternyata model edukasi keuangan tidak selalu harus yang bersifat massal, odel edukasi keuangan yang bersifat personal dengan menghadirkan konsultan keuangan dapat menjadi alternatif peningkatan literasi keuangan. Meski begitu, pemerintah harus </w:t>
      </w:r>
      <w:r w:rsidRPr="0071607D">
        <w:rPr>
          <w:sz w:val="24"/>
          <w:szCs w:val="24"/>
        </w:rPr>
        <w:t xml:space="preserve">memastikan kualitas dari konsultan keuangan. Sertifikasi konsultan keuangan seharusnya menjadi sebuah </w:t>
      </w:r>
      <w:r>
        <w:rPr>
          <w:sz w:val="24"/>
          <w:szCs w:val="24"/>
        </w:rPr>
        <w:t>peraturan wajib</w:t>
      </w:r>
      <w:r w:rsidRPr="0071607D">
        <w:rPr>
          <w:sz w:val="24"/>
          <w:szCs w:val="24"/>
        </w:rPr>
        <w:t xml:space="preserve"> bagi individu/lembaga</w:t>
      </w:r>
      <w:r>
        <w:rPr>
          <w:sz w:val="24"/>
          <w:szCs w:val="24"/>
        </w:rPr>
        <w:t xml:space="preserve"> yang akan emneyelenggarakan jasa pengelolaan keuangan.</w:t>
      </w:r>
    </w:p>
    <w:p w:rsidR="0071607D" w:rsidRPr="0071607D" w:rsidRDefault="0071607D" w:rsidP="0071607D">
      <w:pPr>
        <w:pStyle w:val="ListParagraph1"/>
        <w:autoSpaceDE w:val="0"/>
        <w:autoSpaceDN w:val="0"/>
        <w:adjustRightInd w:val="0"/>
        <w:spacing w:after="0" w:line="360" w:lineRule="auto"/>
        <w:ind w:left="0" w:firstLine="540"/>
        <w:jc w:val="both"/>
        <w:rPr>
          <w:rFonts w:ascii="Times New Roman" w:eastAsia="Calibri" w:hAnsi="Times New Roman"/>
        </w:rPr>
      </w:pPr>
      <w:r w:rsidRPr="0071607D">
        <w:rPr>
          <w:rFonts w:ascii="Times New Roman" w:hAnsi="Times New Roman"/>
        </w:rPr>
        <w:t xml:space="preserve">Temuan ini juga bermanfaat bagi individu/lembaga penyelenggara jasa konsultasi dalam menentukan target sasaran yaitu individu dengan literasi keuangan yang baik. Selain itu, studi-studi selanjutnya dapat berfokus pada manfaat dari berkonsultasi pada profesional, atau kemungkinan adanya peran substitusi antara </w:t>
      </w:r>
      <w:r w:rsidRPr="0071607D">
        <w:rPr>
          <w:rFonts w:ascii="Times New Roman" w:hAnsi="Times New Roman"/>
        </w:rPr>
        <w:lastRenderedPageBreak/>
        <w:t xml:space="preserve">literasi keuangan dan kehadiran konsultan dalam pengambilan keputusan keuangan individu </w:t>
      </w:r>
      <w:r>
        <w:rPr>
          <w:rFonts w:ascii="Times New Roman" w:hAnsi="Times New Roman"/>
        </w:rPr>
        <w:t>yang</w:t>
      </w:r>
      <w:r w:rsidRPr="0071607D">
        <w:rPr>
          <w:rFonts w:ascii="Times New Roman" w:hAnsi="Times New Roman"/>
        </w:rPr>
        <w:t xml:space="preserve"> menunjukkan bahwa </w:t>
      </w:r>
      <w:r w:rsidRPr="0071607D">
        <w:rPr>
          <w:rFonts w:ascii="Times New Roman" w:eastAsia="Calibri" w:hAnsi="Times New Roman"/>
        </w:rPr>
        <w:t xml:space="preserve">individu dengan literasi keuangan yang rendah tidak selalu menyiratkan bahwa orang akan membuat keputusan keuangan yang buruk; setidaknya </w:t>
      </w:r>
      <w:r>
        <w:rPr>
          <w:rFonts w:ascii="Times New Roman" w:eastAsia="Calibri" w:hAnsi="Times New Roman"/>
        </w:rPr>
        <w:t>individu tersebut</w:t>
      </w:r>
      <w:r w:rsidRPr="0071607D">
        <w:rPr>
          <w:rFonts w:ascii="Times New Roman" w:eastAsia="Calibri" w:hAnsi="Times New Roman"/>
        </w:rPr>
        <w:t xml:space="preserve"> dapat mencari saran dan panduan keuangan dari sumber </w:t>
      </w:r>
      <w:r w:rsidR="00556F39">
        <w:rPr>
          <w:rFonts w:ascii="Times New Roman" w:eastAsia="Calibri" w:hAnsi="Times New Roman"/>
        </w:rPr>
        <w:t>informasi yang dapat diandalkan.</w:t>
      </w:r>
    </w:p>
    <w:p w:rsidR="0071607D" w:rsidRDefault="0071607D" w:rsidP="00581B0F">
      <w:pPr>
        <w:pStyle w:val="Heading1"/>
        <w:numPr>
          <w:ilvl w:val="0"/>
          <w:numId w:val="0"/>
        </w:numPr>
        <w:spacing w:before="0" w:after="0" w:line="360" w:lineRule="auto"/>
        <w:ind w:left="720" w:hanging="720"/>
        <w:rPr>
          <w:rFonts w:ascii="Times New Roman" w:hAnsi="Times New Roman" w:cs="Times New Roman"/>
          <w:sz w:val="24"/>
          <w:szCs w:val="24"/>
        </w:rPr>
      </w:pPr>
    </w:p>
    <w:p w:rsidR="00581B0F" w:rsidRDefault="00581B0F" w:rsidP="00581B0F">
      <w:pPr>
        <w:pStyle w:val="Heading1"/>
        <w:numPr>
          <w:ilvl w:val="0"/>
          <w:numId w:val="0"/>
        </w:numPr>
        <w:spacing w:before="0" w:after="0" w:line="360" w:lineRule="auto"/>
        <w:ind w:left="720" w:hanging="720"/>
        <w:rPr>
          <w:rFonts w:ascii="Times New Roman" w:hAnsi="Times New Roman" w:cs="Times New Roman"/>
          <w:sz w:val="24"/>
          <w:szCs w:val="24"/>
        </w:rPr>
      </w:pPr>
      <w:r>
        <w:rPr>
          <w:rFonts w:ascii="Times New Roman" w:hAnsi="Times New Roman" w:cs="Times New Roman"/>
          <w:sz w:val="24"/>
          <w:szCs w:val="24"/>
        </w:rPr>
        <w:t>DAFTAR PUSTAKA</w:t>
      </w:r>
      <w:r w:rsidRPr="00387A07">
        <w:rPr>
          <w:rFonts w:ascii="Times New Roman" w:hAnsi="Times New Roman" w:cs="Times New Roman"/>
          <w:sz w:val="24"/>
          <w:szCs w:val="24"/>
        </w:rPr>
        <w:t xml:space="preserve"> </w:t>
      </w:r>
    </w:p>
    <w:p w:rsidR="00C9706F" w:rsidRPr="00C9706F" w:rsidRDefault="007A2C8C" w:rsidP="00BC4053">
      <w:pPr>
        <w:widowControl w:val="0"/>
        <w:autoSpaceDE w:val="0"/>
        <w:autoSpaceDN w:val="0"/>
        <w:adjustRightInd w:val="0"/>
        <w:ind w:left="480" w:hanging="480"/>
        <w:jc w:val="both"/>
        <w:rPr>
          <w:noProof/>
          <w:szCs w:val="24"/>
        </w:rPr>
      </w:pPr>
      <w:r>
        <w:fldChar w:fldCharType="begin" w:fldLock="1"/>
      </w:r>
      <w:r>
        <w:instrText xml:space="preserve">ADDIN Mendeley Bibliography CSL_BIBLIOGRAPHY </w:instrText>
      </w:r>
      <w:r>
        <w:fldChar w:fldCharType="separate"/>
      </w:r>
      <w:r w:rsidR="00C9706F" w:rsidRPr="00C9706F">
        <w:rPr>
          <w:noProof/>
          <w:szCs w:val="24"/>
        </w:rPr>
        <w:t xml:space="preserve">Almenberg, Johan, and Anna Dreber. 2015. “Gender, Stock Market Participation and Financial Literacy.” </w:t>
      </w:r>
      <w:r w:rsidR="00C9706F" w:rsidRPr="00C9706F">
        <w:rPr>
          <w:i/>
          <w:iCs/>
          <w:noProof/>
          <w:szCs w:val="24"/>
        </w:rPr>
        <w:t>Economics Letters</w:t>
      </w:r>
      <w:r w:rsidR="00C9706F" w:rsidRPr="00C9706F">
        <w:rPr>
          <w:noProof/>
          <w:szCs w:val="24"/>
        </w:rPr>
        <w:t xml:space="preserve"> 137: 140–42. https://doi.org/10.1016/j.econlet.2015.10.009.</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Anderson, Anders, Forest Baker, and David T. Robinson. 2017. “Precautionary Savings, Retirement Planning and Misperceptions of Financial Literacy.” </w:t>
      </w:r>
      <w:r w:rsidRPr="00C9706F">
        <w:rPr>
          <w:i/>
          <w:iCs/>
          <w:noProof/>
          <w:szCs w:val="24"/>
        </w:rPr>
        <w:t>Journal of Financial Economics</w:t>
      </w:r>
      <w:r w:rsidRPr="00C9706F">
        <w:rPr>
          <w:noProof/>
          <w:szCs w:val="24"/>
        </w:rPr>
        <w:t>, no. 15. https://doi.org/10.1016/j.jfineco.2017.07.008.</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Banks, James, Cormac O ’Dea, and Zoë Oldfield. 2010. “Cognitive Function, Numeracy and Retirement Saving Trajectories.” </w:t>
      </w:r>
      <w:r w:rsidRPr="00C9706F">
        <w:rPr>
          <w:i/>
          <w:iCs/>
          <w:noProof/>
          <w:szCs w:val="24"/>
        </w:rPr>
        <w:t>The Economic Journal</w:t>
      </w:r>
      <w:r w:rsidRPr="00C9706F">
        <w:rPr>
          <w:noProof/>
          <w:szCs w:val="24"/>
        </w:rPr>
        <w:t xml:space="preserve"> 120 (548): F381–410. https://doi.org/10.1111/j.1468-0297.2010.02395.x.</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Borodich, Sergey, Svetlana Deplazes, Nadzeya Kardash, Alexander Kovzik, and Oshkosh. 2010. “Comparative Analysis of the Levels of Financial Literacy Among Students in the U.S., Belarus, and Japan.” </w:t>
      </w:r>
      <w:r w:rsidRPr="00C9706F">
        <w:rPr>
          <w:i/>
          <w:iCs/>
          <w:noProof/>
          <w:szCs w:val="24"/>
        </w:rPr>
        <w:t>Journal Of Economics &amp; Economic Education Research</w:t>
      </w:r>
      <w:r w:rsidRPr="00C9706F">
        <w:rPr>
          <w:noProof/>
          <w:szCs w:val="24"/>
        </w:rPr>
        <w:t xml:space="preserve"> 11 (3): 71–86.</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Bucher-Koenen, Tabea, and Annamaria Lusardi. 2011. “Financial Literacy and Retirement Planning in Germany.” </w:t>
      </w:r>
      <w:r w:rsidRPr="00C9706F">
        <w:rPr>
          <w:i/>
          <w:iCs/>
          <w:noProof/>
          <w:szCs w:val="24"/>
        </w:rPr>
        <w:t>Journal of Pension Economics and Finance</w:t>
      </w:r>
      <w:r w:rsidRPr="00C9706F">
        <w:rPr>
          <w:noProof/>
          <w:szCs w:val="24"/>
        </w:rPr>
        <w:t xml:space="preserve"> 10 (04): 565–84. https://doi.org/10.1017/S1474747211000485.</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Calcagno, Riccardo, and Chiara Monticone. 2015. “Financial Literacy and the Demand for Financial Advice.” </w:t>
      </w:r>
      <w:r w:rsidRPr="00C9706F">
        <w:rPr>
          <w:i/>
          <w:iCs/>
          <w:noProof/>
          <w:szCs w:val="24"/>
        </w:rPr>
        <w:t>Journal of Banking and Finance</w:t>
      </w:r>
      <w:r w:rsidRPr="00C9706F">
        <w:rPr>
          <w:noProof/>
          <w:szCs w:val="24"/>
        </w:rPr>
        <w:t xml:space="preserve"> 50: 363–80. https://doi.org/10.1016/j.jbankfin.2014.03.013.</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Conklin, James N. 2017. “Financial Literacy, Broker–Borrower Interaction and Mortgage Default.” </w:t>
      </w:r>
      <w:r w:rsidRPr="00C9706F">
        <w:rPr>
          <w:i/>
          <w:iCs/>
          <w:noProof/>
          <w:szCs w:val="24"/>
        </w:rPr>
        <w:t>Real Estate Economics</w:t>
      </w:r>
      <w:r w:rsidRPr="00C9706F">
        <w:rPr>
          <w:noProof/>
          <w:szCs w:val="24"/>
        </w:rPr>
        <w:t xml:space="preserve"> 45 (2): 376–414. https://doi.org/10.1111/1540-6229.12140.</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Dunning, David. 2011. “The Dunning-Kruger Effect: On Being Ignorant of One’s Own Ignorance.” In </w:t>
      </w:r>
      <w:r w:rsidRPr="00C9706F">
        <w:rPr>
          <w:i/>
          <w:iCs/>
          <w:noProof/>
          <w:szCs w:val="24"/>
        </w:rPr>
        <w:t>Advances in Experimental Social Psychology</w:t>
      </w:r>
      <w:r w:rsidRPr="00C9706F">
        <w:rPr>
          <w:noProof/>
          <w:szCs w:val="24"/>
        </w:rPr>
        <w:t>, edited by James M. Olson and Mark P. Zanna, 1st ed., 44:247–96. Elsevier Inc. https://doi.org/10.1016/B978-0-12-385522-0.00005-6.</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Fernandes, Daniel, John G. Lynch, and Richard G. Netemeyer. 2014. “Financial Literacy, Financial Education, and Downstream Financial Behaviors.” </w:t>
      </w:r>
      <w:r w:rsidRPr="00C9706F">
        <w:rPr>
          <w:i/>
          <w:iCs/>
          <w:noProof/>
          <w:szCs w:val="24"/>
        </w:rPr>
        <w:t>Management Science</w:t>
      </w:r>
      <w:r w:rsidRPr="00C9706F">
        <w:rPr>
          <w:noProof/>
          <w:szCs w:val="24"/>
        </w:rPr>
        <w:t xml:space="preserve"> 60 (8): 1861–83. https://doi.org/10.1287/mnsc.2013.1849.</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Fox, Michelle. 2019. “99% of Americans Don’t Use a Financial Advisor — Here’s Why.” 2019. https://www.cnbc.com/2019/11/11/99percent-of-americans-dont-use-a-financial-advisor-heres-why.html.</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Hastings, Justine, and Lydia Tejeda-Ashton. 2008. “Financial Literacy, Information, and Demand Elasticity: Survey and Experimental Evidence from Mexico.” </w:t>
      </w:r>
      <w:r w:rsidRPr="00C9706F">
        <w:rPr>
          <w:i/>
          <w:iCs/>
          <w:noProof/>
          <w:szCs w:val="24"/>
        </w:rPr>
        <w:t>NBER Working Paper No.14538</w:t>
      </w:r>
      <w:r w:rsidRPr="00C9706F">
        <w:rPr>
          <w:noProof/>
          <w:szCs w:val="24"/>
        </w:rPr>
        <w:t>. Cambridge, MA. https://doi.org/10.3386/w14538.</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Hung, Angela, Andrew M. Parker, and Joanne Yoong. 2009. “Defining and Measuring Financial Literacy.” </w:t>
      </w:r>
      <w:r w:rsidRPr="00C9706F">
        <w:rPr>
          <w:i/>
          <w:iCs/>
          <w:noProof/>
          <w:szCs w:val="24"/>
        </w:rPr>
        <w:t>SSRN Electronic Journal</w:t>
      </w:r>
      <w:r w:rsidRPr="00C9706F">
        <w:rPr>
          <w:noProof/>
          <w:szCs w:val="24"/>
        </w:rPr>
        <w:t xml:space="preserve"> 708: 28 pp. https://doi.org/10.2139/ssrn.1498674.</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Hung, Angela, and Joanne Yoong. 2010. “Asking for Help: Survey and Experimental Evidence on Financial Advice and Behavior Change.” </w:t>
      </w:r>
      <w:r w:rsidRPr="00C9706F">
        <w:rPr>
          <w:i/>
          <w:iCs/>
          <w:noProof/>
          <w:szCs w:val="24"/>
        </w:rPr>
        <w:t>SSRN</w:t>
      </w:r>
      <w:r w:rsidRPr="00C9706F">
        <w:rPr>
          <w:noProof/>
          <w:szCs w:val="24"/>
        </w:rPr>
        <w:t>. https://doi.org/10.2139/ssrn.1532993.</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Kramer, Marc M. 2016. “Financial Literacy, Confidence and Financial Advice Seeking.” </w:t>
      </w:r>
      <w:r w:rsidRPr="00C9706F">
        <w:rPr>
          <w:i/>
          <w:iCs/>
          <w:noProof/>
          <w:szCs w:val="24"/>
        </w:rPr>
        <w:t>Journal of Economic Behavior and Organization</w:t>
      </w:r>
      <w:r w:rsidRPr="00C9706F">
        <w:rPr>
          <w:noProof/>
          <w:szCs w:val="24"/>
        </w:rPr>
        <w:t xml:space="preserve"> 131 (January): 198–217. https://doi.org/10.1016/j.jebo.2016.08.016.</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Lin, Chaonan, Yu Jen Hsiao, and Cheng Yung Yeh. 2017. “Financial Literacy, Financial Advisors, and Information Sources on Demand for Life Insurance.” </w:t>
      </w:r>
      <w:r w:rsidRPr="00C9706F">
        <w:rPr>
          <w:i/>
          <w:iCs/>
          <w:noProof/>
          <w:szCs w:val="24"/>
        </w:rPr>
        <w:t>Pacific Basin Finance Journal</w:t>
      </w:r>
      <w:r w:rsidRPr="00C9706F">
        <w:rPr>
          <w:noProof/>
          <w:szCs w:val="24"/>
        </w:rPr>
        <w:t xml:space="preserve"> 43 (January 2016): 218–37. https://doi.org/10.1016/j.pacfin.2017.04.002.</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Lusardi, Annamaria. 2003. “Planning and Saving for Retirement.” </w:t>
      </w:r>
      <w:r w:rsidRPr="00C9706F">
        <w:rPr>
          <w:noProof/>
          <w:szCs w:val="24"/>
        </w:rPr>
        <w:lastRenderedPageBreak/>
        <w:t>http://www.dartmouth.edu/~alusardi/Papers/Lusardi_pdf.pdf.</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 2015. “Financial Literacy: Do People Know the </w:t>
      </w:r>
      <w:r w:rsidRPr="00C9706F">
        <w:rPr>
          <w:i/>
          <w:iCs/>
          <w:noProof/>
          <w:szCs w:val="24"/>
        </w:rPr>
        <w:t>ABCs</w:t>
      </w:r>
      <w:r w:rsidRPr="00C9706F">
        <w:rPr>
          <w:noProof/>
          <w:szCs w:val="24"/>
        </w:rPr>
        <w:t xml:space="preserve"> of Finance?” </w:t>
      </w:r>
      <w:r w:rsidRPr="00C9706F">
        <w:rPr>
          <w:i/>
          <w:iCs/>
          <w:noProof/>
          <w:szCs w:val="24"/>
        </w:rPr>
        <w:t>Public Understanding of Science</w:t>
      </w:r>
      <w:r w:rsidRPr="00C9706F">
        <w:rPr>
          <w:noProof/>
          <w:szCs w:val="24"/>
        </w:rPr>
        <w:t xml:space="preserve"> 24 (3): 260–71. https://doi.org/10.1177/0963662514564516.</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Lusardi, Annamaria, and Olivia S. Mitchell. 2008. “Planning and Financial Literacy: How Do Women Fare?” In </w:t>
      </w:r>
      <w:r w:rsidRPr="00C9706F">
        <w:rPr>
          <w:i/>
          <w:iCs/>
          <w:noProof/>
          <w:szCs w:val="24"/>
        </w:rPr>
        <w:t>American Economic Review</w:t>
      </w:r>
      <w:r w:rsidRPr="00C9706F">
        <w:rPr>
          <w:noProof/>
          <w:szCs w:val="24"/>
        </w:rPr>
        <w:t>, 98:413–17. https://doi.org/10.1257/aer.98.2.413.</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Lusardi, Annamaria, and Peter Tufano. 2015. “Debt Literacy, Financial Experiences, and Overindebtedness.” </w:t>
      </w:r>
      <w:r w:rsidRPr="00C9706F">
        <w:rPr>
          <w:i/>
          <w:iCs/>
          <w:noProof/>
          <w:szCs w:val="24"/>
        </w:rPr>
        <w:t>Journal of Pension Economics and Finance</w:t>
      </w:r>
      <w:r w:rsidRPr="00C9706F">
        <w:rPr>
          <w:noProof/>
          <w:szCs w:val="24"/>
        </w:rPr>
        <w:t xml:space="preserve"> 14 (04): 332–68. https://doi.org/10.1017/S1474747215000232.</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Mitchell, Olivia S., and Annamaria Lusardi. 2011. “Financial Literacy and Planning: Implications for Retirement Well-Being.” In </w:t>
      </w:r>
      <w:r w:rsidRPr="00C9706F">
        <w:rPr>
          <w:i/>
          <w:iCs/>
          <w:noProof/>
          <w:szCs w:val="24"/>
        </w:rPr>
        <w:t>Financial Literacy: Implications for Retirement Security and the Financial Marketplace</w:t>
      </w:r>
      <w:r w:rsidRPr="00C9706F">
        <w:rPr>
          <w:noProof/>
          <w:szCs w:val="24"/>
        </w:rPr>
        <w:t>. https://doi.org/10.1093/acprof:oso/9780199696819.003.0002.</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Ooijen, Raun van, and Maarten C.J. van Rooij. 2016. “Mortgage Risks, Debt Literacy and Financial Advice.” </w:t>
      </w:r>
      <w:r w:rsidRPr="00C9706F">
        <w:rPr>
          <w:i/>
          <w:iCs/>
          <w:noProof/>
          <w:szCs w:val="24"/>
        </w:rPr>
        <w:t>Journal of Banking and Finance</w:t>
      </w:r>
      <w:r w:rsidRPr="00C9706F">
        <w:rPr>
          <w:noProof/>
          <w:szCs w:val="24"/>
        </w:rPr>
        <w:t xml:space="preserve"> 72: 201–17. https://doi.org/10.1016/j.jbankfin.2016.05.001.</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Rooij, Maarten C.J. van, Annamaria Lusardi, and Rob J.M. Alessie. 2011. “Financial Literacy and Retirement Planning in the Netherlands.” </w:t>
      </w:r>
      <w:r w:rsidRPr="00C9706F">
        <w:rPr>
          <w:i/>
          <w:iCs/>
          <w:noProof/>
          <w:szCs w:val="24"/>
        </w:rPr>
        <w:t>Journal of Economic Psychology</w:t>
      </w:r>
      <w:r w:rsidRPr="00C9706F">
        <w:rPr>
          <w:noProof/>
          <w:szCs w:val="24"/>
        </w:rPr>
        <w:t xml:space="preserve"> 32 (4): 593–608. https://doi.org/10.1016/j.joep.2011.02.004.</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Rooij, Maarten van, Annamaria Lusardi, and Rob Alessie. 2011. “Financial Literacy and Stock Market Participation.” </w:t>
      </w:r>
      <w:r w:rsidRPr="00C9706F">
        <w:rPr>
          <w:i/>
          <w:iCs/>
          <w:noProof/>
          <w:szCs w:val="24"/>
        </w:rPr>
        <w:t>Journal of Financial Economics</w:t>
      </w:r>
      <w:r w:rsidRPr="00C9706F">
        <w:rPr>
          <w:noProof/>
          <w:szCs w:val="24"/>
        </w:rPr>
        <w:t xml:space="preserve"> 101 (2): 449–72. https://doi.org/10.1016/j.jfineco.2011.03.006.</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Spataro, Luca, and Lorenzo Corsini. 2017. “Endogenous Financial Literacy, Saving, and Stock Market Participation.” </w:t>
      </w:r>
      <w:r w:rsidRPr="00C9706F">
        <w:rPr>
          <w:i/>
          <w:iCs/>
          <w:noProof/>
          <w:szCs w:val="24"/>
        </w:rPr>
        <w:t>Public Finance Analysis</w:t>
      </w:r>
      <w:r w:rsidRPr="00C9706F">
        <w:rPr>
          <w:noProof/>
          <w:szCs w:val="24"/>
        </w:rPr>
        <w:t xml:space="preserve"> 73 (2): 135–62. https://doi.org/10.1628/001522117X14877521353555.</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Stango, Victor, and Jonathan Zinman. 2017. “Published by : Wiley for the American Finance Association Exponential Growth Bias and Household Finance” 64 (6): 2807–49.</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Stolper, Oscar A., and Andreas Walter. 2017. “Financial Literacy, Financial Advice, and Financial Behavior.” </w:t>
      </w:r>
      <w:r w:rsidRPr="00C9706F">
        <w:rPr>
          <w:i/>
          <w:iCs/>
          <w:noProof/>
          <w:szCs w:val="24"/>
        </w:rPr>
        <w:t>Journal of Business Economics</w:t>
      </w:r>
      <w:r w:rsidRPr="00C9706F">
        <w:rPr>
          <w:noProof/>
          <w:szCs w:val="24"/>
        </w:rPr>
        <w:t xml:space="preserve"> 87 (5): 581–643. https://doi.org/10.1007/s11573-017-0853-9.</w:t>
      </w:r>
    </w:p>
    <w:p w:rsidR="00C9706F" w:rsidRPr="00C9706F" w:rsidRDefault="00C9706F" w:rsidP="00BC4053">
      <w:pPr>
        <w:widowControl w:val="0"/>
        <w:autoSpaceDE w:val="0"/>
        <w:autoSpaceDN w:val="0"/>
        <w:adjustRightInd w:val="0"/>
        <w:ind w:left="480" w:hanging="480"/>
        <w:jc w:val="both"/>
        <w:rPr>
          <w:noProof/>
          <w:szCs w:val="24"/>
        </w:rPr>
      </w:pPr>
      <w:r w:rsidRPr="00C9706F">
        <w:rPr>
          <w:noProof/>
          <w:szCs w:val="24"/>
        </w:rPr>
        <w:t xml:space="preserve">Sturm, Peter H. 1983. “Determinants of Saving: Theory and Evidence.” </w:t>
      </w:r>
      <w:r w:rsidRPr="00C9706F">
        <w:rPr>
          <w:i/>
          <w:iCs/>
          <w:noProof/>
          <w:szCs w:val="24"/>
        </w:rPr>
        <w:t>OECD Economic Studies</w:t>
      </w:r>
      <w:r w:rsidRPr="00C9706F">
        <w:rPr>
          <w:noProof/>
          <w:szCs w:val="24"/>
        </w:rPr>
        <w:t>. https://doi.org/10.1016/j.jmoneco.2005.10.016.</w:t>
      </w:r>
    </w:p>
    <w:p w:rsidR="00C9706F" w:rsidRPr="00C9706F" w:rsidRDefault="00C9706F" w:rsidP="00BC4053">
      <w:pPr>
        <w:widowControl w:val="0"/>
        <w:autoSpaceDE w:val="0"/>
        <w:autoSpaceDN w:val="0"/>
        <w:adjustRightInd w:val="0"/>
        <w:ind w:left="480" w:hanging="480"/>
        <w:jc w:val="both"/>
        <w:rPr>
          <w:noProof/>
        </w:rPr>
      </w:pPr>
      <w:r w:rsidRPr="00C9706F">
        <w:rPr>
          <w:noProof/>
          <w:szCs w:val="24"/>
        </w:rPr>
        <w:t xml:space="preserve">Woolridge, Jeffrey M. 2016. </w:t>
      </w:r>
      <w:r w:rsidRPr="00C9706F">
        <w:rPr>
          <w:i/>
          <w:iCs/>
          <w:noProof/>
          <w:szCs w:val="24"/>
        </w:rPr>
        <w:t>Introductory Econometrics: A Modern Approach</w:t>
      </w:r>
      <w:r w:rsidRPr="00C9706F">
        <w:rPr>
          <w:noProof/>
          <w:szCs w:val="24"/>
        </w:rPr>
        <w:t>. 6th ed. Boston, USA: Cengage Learning.</w:t>
      </w:r>
    </w:p>
    <w:p w:rsidR="007A2C8C" w:rsidRPr="007A2C8C" w:rsidRDefault="007A2C8C" w:rsidP="00BC4053">
      <w:pPr>
        <w:jc w:val="both"/>
      </w:pPr>
      <w:r>
        <w:fldChar w:fldCharType="end"/>
      </w:r>
    </w:p>
    <w:sectPr w:rsidR="007A2C8C" w:rsidRPr="007A2C8C" w:rsidSect="0076176F">
      <w:headerReference w:type="default" r:id="rId8"/>
      <w:pgSz w:w="11920" w:h="16840"/>
      <w:pgMar w:top="2268" w:right="1701" w:bottom="1701" w:left="2268" w:header="1466"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EA" w:rsidRDefault="00BA6EEA">
      <w:r>
        <w:separator/>
      </w:r>
    </w:p>
  </w:endnote>
  <w:endnote w:type="continuationSeparator" w:id="0">
    <w:p w:rsidR="00BA6EEA" w:rsidRDefault="00BA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MT">
    <w:charset w:val="00"/>
    <w:family w:val="auto"/>
    <w:pitch w:val="default"/>
  </w:font>
  <w:font w:name="Adobe Arabic">
    <w:altName w:val="Times New Roman"/>
    <w:panose1 w:val="00000000000000000000"/>
    <w:charset w:val="00"/>
    <w:family w:val="roman"/>
    <w:notTrueType/>
    <w:pitch w:val="variable"/>
    <w:sig w:usb0="00000003" w:usb1="8000A04A" w:usb2="00000008" w:usb3="00000000" w:csb0="00000041" w:csb1="00000000"/>
  </w:font>
  <w:font w:name="Cambria Math">
    <w:panose1 w:val="02040503050406030204"/>
    <w:charset w:val="00"/>
    <w:family w:val="roman"/>
    <w:pitch w:val="variable"/>
    <w:sig w:usb0="A00002EF" w:usb1="420020EB" w:usb2="00000000" w:usb3="00000000" w:csb0="0000019F" w:csb1="00000000"/>
  </w:font>
  <w:font w:name="DengXian">
    <w:altName w:val="等线"/>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EA" w:rsidRDefault="00BA6EEA">
      <w:r>
        <w:separator/>
      </w:r>
    </w:p>
  </w:footnote>
  <w:footnote w:type="continuationSeparator" w:id="0">
    <w:p w:rsidR="00BA6EEA" w:rsidRDefault="00BA6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C76530" w:rsidRDefault="00C7653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7AC4">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7AC4">
          <w:rPr>
            <w:b/>
            <w:bCs/>
            <w:noProof/>
          </w:rPr>
          <w:t>18</w:t>
        </w:r>
        <w:r>
          <w:rPr>
            <w:b/>
            <w:bCs/>
            <w:sz w:val="24"/>
            <w:szCs w:val="24"/>
          </w:rPr>
          <w:fldChar w:fldCharType="end"/>
        </w:r>
      </w:p>
    </w:sdtContent>
  </w:sdt>
  <w:p w:rsidR="00C76530" w:rsidRDefault="00C76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567"/>
    <w:multiLevelType w:val="multilevel"/>
    <w:tmpl w:val="F252CA9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01432672"/>
    <w:multiLevelType w:val="hybridMultilevel"/>
    <w:tmpl w:val="6D6095C2"/>
    <w:lvl w:ilvl="0" w:tplc="B2B0AD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57587"/>
    <w:multiLevelType w:val="hybridMultilevel"/>
    <w:tmpl w:val="1DDE5206"/>
    <w:lvl w:ilvl="0" w:tplc="1D127B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BF7ACA"/>
    <w:multiLevelType w:val="hybridMultilevel"/>
    <w:tmpl w:val="DCB0D9EC"/>
    <w:lvl w:ilvl="0" w:tplc="04210011">
      <w:start w:val="1"/>
      <w:numFmt w:val="decimal"/>
      <w:lvlText w:val="%1)"/>
      <w:lvlJc w:val="left"/>
      <w:pPr>
        <w:ind w:left="284" w:hanging="284"/>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B975BD"/>
    <w:multiLevelType w:val="hybridMultilevel"/>
    <w:tmpl w:val="DCB0D9EC"/>
    <w:lvl w:ilvl="0" w:tplc="04210011">
      <w:start w:val="1"/>
      <w:numFmt w:val="decimal"/>
      <w:lvlText w:val="%1)"/>
      <w:lvlJc w:val="left"/>
      <w:pPr>
        <w:ind w:left="284" w:hanging="284"/>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411097"/>
    <w:multiLevelType w:val="hybridMultilevel"/>
    <w:tmpl w:val="75D03568"/>
    <w:lvl w:ilvl="0" w:tplc="264E030A">
      <w:start w:val="1"/>
      <w:numFmt w:val="decimal"/>
      <w:lvlText w:val="%1)"/>
      <w:lvlJc w:val="left"/>
      <w:pPr>
        <w:ind w:left="284" w:hanging="284"/>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404A71"/>
    <w:multiLevelType w:val="multilevel"/>
    <w:tmpl w:val="49465BB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nsid w:val="1825088B"/>
    <w:multiLevelType w:val="multilevel"/>
    <w:tmpl w:val="BE5449F2"/>
    <w:lvl w:ilvl="0">
      <w:start w:val="1"/>
      <w:numFmt w:val="bullet"/>
      <w:lvlText w:val="□"/>
      <w:lvlJc w:val="left"/>
      <w:pPr>
        <w:ind w:left="720" w:hanging="360"/>
      </w:pPr>
      <w:rPr>
        <w:rFonts w:ascii="Calibri" w:hAnsi="Calibri"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nsid w:val="1DCF477A"/>
    <w:multiLevelType w:val="hybridMultilevel"/>
    <w:tmpl w:val="DCB0D9EC"/>
    <w:lvl w:ilvl="0" w:tplc="04210011">
      <w:start w:val="1"/>
      <w:numFmt w:val="decimal"/>
      <w:lvlText w:val="%1)"/>
      <w:lvlJc w:val="left"/>
      <w:pPr>
        <w:ind w:left="284" w:hanging="284"/>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E91ECF"/>
    <w:multiLevelType w:val="hybridMultilevel"/>
    <w:tmpl w:val="1DDE5206"/>
    <w:lvl w:ilvl="0" w:tplc="1D127B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A65894"/>
    <w:multiLevelType w:val="multilevel"/>
    <w:tmpl w:val="12FEDF1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nsid w:val="2C5F0343"/>
    <w:multiLevelType w:val="multilevel"/>
    <w:tmpl w:val="88E432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nsid w:val="39BA658D"/>
    <w:multiLevelType w:val="multilevel"/>
    <w:tmpl w:val="4490DF3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3">
    <w:nsid w:val="4109456A"/>
    <w:multiLevelType w:val="hybridMultilevel"/>
    <w:tmpl w:val="F8520172"/>
    <w:lvl w:ilvl="0" w:tplc="AC78F8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A5F27"/>
    <w:multiLevelType w:val="hybridMultilevel"/>
    <w:tmpl w:val="1DDE5206"/>
    <w:lvl w:ilvl="0" w:tplc="1D127B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F14B2B"/>
    <w:multiLevelType w:val="hybridMultilevel"/>
    <w:tmpl w:val="49A6E56C"/>
    <w:lvl w:ilvl="0" w:tplc="BCD245FC">
      <w:start w:val="1"/>
      <w:numFmt w:val="decimal"/>
      <w:lvlText w:val="%1)"/>
      <w:lvlJc w:val="left"/>
      <w:pPr>
        <w:ind w:left="170" w:hanging="1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A36AE2"/>
    <w:multiLevelType w:val="hybridMultilevel"/>
    <w:tmpl w:val="18548FBE"/>
    <w:lvl w:ilvl="0" w:tplc="44668F1E">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7">
    <w:nsid w:val="66D54C7A"/>
    <w:multiLevelType w:val="multilevel"/>
    <w:tmpl w:val="2EC6A77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nsid w:val="6B1850B8"/>
    <w:multiLevelType w:val="hybridMultilevel"/>
    <w:tmpl w:val="1DDE5206"/>
    <w:lvl w:ilvl="0" w:tplc="1D127B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AB3BE8"/>
    <w:multiLevelType w:val="multilevel"/>
    <w:tmpl w:val="E98A0A2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0">
    <w:nsid w:val="71F3487C"/>
    <w:multiLevelType w:val="multilevel"/>
    <w:tmpl w:val="12FEDF1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nsid w:val="749C4CC1"/>
    <w:multiLevelType w:val="hybridMultilevel"/>
    <w:tmpl w:val="BE2055E4"/>
    <w:lvl w:ilvl="0" w:tplc="2D3820D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1567FB"/>
    <w:multiLevelType w:val="multilevel"/>
    <w:tmpl w:val="BE9A8A74"/>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nsid w:val="7F466B97"/>
    <w:multiLevelType w:val="multilevel"/>
    <w:tmpl w:val="A66044C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4">
    <w:nsid w:val="7F5D67DB"/>
    <w:multiLevelType w:val="hybridMultilevel"/>
    <w:tmpl w:val="DCB0D9EC"/>
    <w:lvl w:ilvl="0" w:tplc="04210011">
      <w:start w:val="1"/>
      <w:numFmt w:val="decimal"/>
      <w:lvlText w:val="%1)"/>
      <w:lvlJc w:val="left"/>
      <w:pPr>
        <w:ind w:left="284" w:hanging="284"/>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14"/>
  </w:num>
  <w:num w:numId="5">
    <w:abstractNumId w:val="18"/>
  </w:num>
  <w:num w:numId="6">
    <w:abstractNumId w:val="5"/>
  </w:num>
  <w:num w:numId="7">
    <w:abstractNumId w:val="8"/>
  </w:num>
  <w:num w:numId="8">
    <w:abstractNumId w:val="15"/>
  </w:num>
  <w:num w:numId="9">
    <w:abstractNumId w:val="9"/>
  </w:num>
  <w:num w:numId="10">
    <w:abstractNumId w:val="24"/>
  </w:num>
  <w:num w:numId="11">
    <w:abstractNumId w:val="4"/>
  </w:num>
  <w:num w:numId="12">
    <w:abstractNumId w:val="16"/>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8F"/>
    <w:rsid w:val="00003A85"/>
    <w:rsid w:val="000157CE"/>
    <w:rsid w:val="00022D84"/>
    <w:rsid w:val="000434CE"/>
    <w:rsid w:val="000456FB"/>
    <w:rsid w:val="000621F0"/>
    <w:rsid w:val="0008722B"/>
    <w:rsid w:val="000F274C"/>
    <w:rsid w:val="00113598"/>
    <w:rsid w:val="00137686"/>
    <w:rsid w:val="0016496D"/>
    <w:rsid w:val="00167FC4"/>
    <w:rsid w:val="00191E9F"/>
    <w:rsid w:val="001E47F4"/>
    <w:rsid w:val="001F1660"/>
    <w:rsid w:val="00205B69"/>
    <w:rsid w:val="0022023B"/>
    <w:rsid w:val="002322BA"/>
    <w:rsid w:val="0027416F"/>
    <w:rsid w:val="002A559D"/>
    <w:rsid w:val="002D1E24"/>
    <w:rsid w:val="00356B6B"/>
    <w:rsid w:val="00387A07"/>
    <w:rsid w:val="003904C7"/>
    <w:rsid w:val="003A6435"/>
    <w:rsid w:val="003D488C"/>
    <w:rsid w:val="003D58F7"/>
    <w:rsid w:val="003E07C1"/>
    <w:rsid w:val="00425BD6"/>
    <w:rsid w:val="00427AEC"/>
    <w:rsid w:val="00434B05"/>
    <w:rsid w:val="00446CCE"/>
    <w:rsid w:val="0045137D"/>
    <w:rsid w:val="004715A1"/>
    <w:rsid w:val="004A011B"/>
    <w:rsid w:val="004D3F2B"/>
    <w:rsid w:val="0050427D"/>
    <w:rsid w:val="005068D4"/>
    <w:rsid w:val="00556F39"/>
    <w:rsid w:val="00562D3F"/>
    <w:rsid w:val="00581B0F"/>
    <w:rsid w:val="00583442"/>
    <w:rsid w:val="00587F48"/>
    <w:rsid w:val="00595F9C"/>
    <w:rsid w:val="005A38D5"/>
    <w:rsid w:val="005B02B1"/>
    <w:rsid w:val="00644060"/>
    <w:rsid w:val="00655FFC"/>
    <w:rsid w:val="00666326"/>
    <w:rsid w:val="0068272E"/>
    <w:rsid w:val="00697E97"/>
    <w:rsid w:val="006B1187"/>
    <w:rsid w:val="006B178B"/>
    <w:rsid w:val="006C01B2"/>
    <w:rsid w:val="006D55BB"/>
    <w:rsid w:val="00701A36"/>
    <w:rsid w:val="0071607D"/>
    <w:rsid w:val="0073551B"/>
    <w:rsid w:val="0075194E"/>
    <w:rsid w:val="0076176F"/>
    <w:rsid w:val="007A2C8C"/>
    <w:rsid w:val="007B5D64"/>
    <w:rsid w:val="007E4C3A"/>
    <w:rsid w:val="007F086F"/>
    <w:rsid w:val="008254BB"/>
    <w:rsid w:val="00834FB9"/>
    <w:rsid w:val="008702E0"/>
    <w:rsid w:val="008774C0"/>
    <w:rsid w:val="009354B0"/>
    <w:rsid w:val="00957AC4"/>
    <w:rsid w:val="009B3DA8"/>
    <w:rsid w:val="009F5766"/>
    <w:rsid w:val="00A01ED0"/>
    <w:rsid w:val="00A26348"/>
    <w:rsid w:val="00A462FD"/>
    <w:rsid w:val="00A571C0"/>
    <w:rsid w:val="00A6148E"/>
    <w:rsid w:val="00A62101"/>
    <w:rsid w:val="00A920D6"/>
    <w:rsid w:val="00AB78DB"/>
    <w:rsid w:val="00AC347C"/>
    <w:rsid w:val="00AD528D"/>
    <w:rsid w:val="00AE45A9"/>
    <w:rsid w:val="00BA10B6"/>
    <w:rsid w:val="00BA6EEA"/>
    <w:rsid w:val="00BC17E5"/>
    <w:rsid w:val="00BC21C6"/>
    <w:rsid w:val="00BC4053"/>
    <w:rsid w:val="00C62A45"/>
    <w:rsid w:val="00C7499F"/>
    <w:rsid w:val="00C76530"/>
    <w:rsid w:val="00C9706F"/>
    <w:rsid w:val="00D20D3A"/>
    <w:rsid w:val="00D232DD"/>
    <w:rsid w:val="00D3738A"/>
    <w:rsid w:val="00D6616D"/>
    <w:rsid w:val="00D8342D"/>
    <w:rsid w:val="00DB1C8F"/>
    <w:rsid w:val="00DE62D3"/>
    <w:rsid w:val="00DF0694"/>
    <w:rsid w:val="00E11FEA"/>
    <w:rsid w:val="00E229B6"/>
    <w:rsid w:val="00E61B98"/>
    <w:rsid w:val="00E81A6D"/>
    <w:rsid w:val="00E8326A"/>
    <w:rsid w:val="00E84737"/>
    <w:rsid w:val="00E864D0"/>
    <w:rsid w:val="00EE0BFB"/>
    <w:rsid w:val="00F30F7D"/>
    <w:rsid w:val="00F6457A"/>
    <w:rsid w:val="00F93F31"/>
    <w:rsid w:val="00FA4C33"/>
    <w:rsid w:val="00FB7DA1"/>
    <w:rsid w:val="00FC5614"/>
    <w:rsid w:val="00FC79F4"/>
    <w:rsid w:val="00FE02E6"/>
    <w:rsid w:val="00FE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4D8E3-E9D7-4483-AC0D-E1DF4C37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157CE"/>
    <w:pPr>
      <w:tabs>
        <w:tab w:val="center" w:pos="4680"/>
        <w:tab w:val="right" w:pos="9360"/>
      </w:tabs>
    </w:pPr>
  </w:style>
  <w:style w:type="character" w:customStyle="1" w:styleId="HeaderChar">
    <w:name w:val="Header Char"/>
    <w:basedOn w:val="DefaultParagraphFont"/>
    <w:link w:val="Header"/>
    <w:uiPriority w:val="99"/>
    <w:rsid w:val="000157CE"/>
  </w:style>
  <w:style w:type="paragraph" w:styleId="Footer">
    <w:name w:val="footer"/>
    <w:basedOn w:val="Normal"/>
    <w:link w:val="FooterChar"/>
    <w:uiPriority w:val="99"/>
    <w:unhideWhenUsed/>
    <w:rsid w:val="000157CE"/>
    <w:pPr>
      <w:tabs>
        <w:tab w:val="center" w:pos="4680"/>
        <w:tab w:val="right" w:pos="9360"/>
      </w:tabs>
    </w:pPr>
  </w:style>
  <w:style w:type="character" w:customStyle="1" w:styleId="FooterChar">
    <w:name w:val="Footer Char"/>
    <w:basedOn w:val="DefaultParagraphFont"/>
    <w:link w:val="Footer"/>
    <w:uiPriority w:val="99"/>
    <w:rsid w:val="000157CE"/>
  </w:style>
  <w:style w:type="paragraph" w:customStyle="1" w:styleId="FrameContents">
    <w:name w:val="Frame Contents"/>
    <w:basedOn w:val="Normal"/>
    <w:rsid w:val="003E07C1"/>
    <w:pPr>
      <w:suppressAutoHyphens/>
      <w:spacing w:after="160" w:line="256" w:lineRule="auto"/>
    </w:pPr>
    <w:rPr>
      <w:rFonts w:ascii="Calibri" w:eastAsia="Calibri" w:hAnsi="Calibri"/>
      <w:sz w:val="22"/>
      <w:szCs w:val="22"/>
      <w:lang w:val="id-ID" w:eastAsia="zh-CN"/>
    </w:rPr>
  </w:style>
  <w:style w:type="paragraph" w:styleId="ListParagraph">
    <w:name w:val="List Paragraph"/>
    <w:basedOn w:val="Normal"/>
    <w:uiPriority w:val="99"/>
    <w:qFormat/>
    <w:rsid w:val="00191E9F"/>
    <w:pPr>
      <w:ind w:left="720"/>
      <w:contextualSpacing/>
    </w:pPr>
  </w:style>
  <w:style w:type="character" w:styleId="Hyperlink">
    <w:name w:val="Hyperlink"/>
    <w:basedOn w:val="DefaultParagraphFont"/>
    <w:uiPriority w:val="99"/>
    <w:unhideWhenUsed/>
    <w:rsid w:val="00A62101"/>
    <w:rPr>
      <w:color w:val="0000FF" w:themeColor="hyperlink"/>
      <w:u w:val="single"/>
    </w:rPr>
  </w:style>
  <w:style w:type="paragraph" w:customStyle="1" w:styleId="ListParagraph1">
    <w:name w:val="List Paragraph1"/>
    <w:basedOn w:val="Normal"/>
    <w:rsid w:val="00A62101"/>
    <w:pPr>
      <w:spacing w:after="200" w:line="273" w:lineRule="auto"/>
      <w:ind w:left="720"/>
      <w:contextualSpacing/>
    </w:pPr>
    <w:rPr>
      <w:rFonts w:ascii="Calibri" w:hAnsi="Calibri"/>
      <w:color w:val="000000"/>
      <w:sz w:val="24"/>
      <w:szCs w:val="24"/>
    </w:rPr>
  </w:style>
  <w:style w:type="table" w:styleId="TableGrid">
    <w:name w:val="Table Grid"/>
    <w:basedOn w:val="TableNormal"/>
    <w:uiPriority w:val="99"/>
    <w:unhideWhenUsed/>
    <w:rsid w:val="00EE0B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7AEC"/>
    <w:rPr>
      <w:color w:val="808080"/>
    </w:rPr>
  </w:style>
  <w:style w:type="character" w:customStyle="1" w:styleId="15">
    <w:name w:val="15"/>
    <w:basedOn w:val="DefaultParagraphFont"/>
    <w:rsid w:val="0071607D"/>
    <w:rPr>
      <w:rFonts w:ascii="TimesNewRomanPSMT" w:hAnsi="TimesNewRomanPSMT"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9012">
      <w:bodyDiv w:val="1"/>
      <w:marLeft w:val="0"/>
      <w:marRight w:val="0"/>
      <w:marTop w:val="0"/>
      <w:marBottom w:val="0"/>
      <w:divBdr>
        <w:top w:val="none" w:sz="0" w:space="0" w:color="auto"/>
        <w:left w:val="none" w:sz="0" w:space="0" w:color="auto"/>
        <w:bottom w:val="none" w:sz="0" w:space="0" w:color="auto"/>
        <w:right w:val="none" w:sz="0" w:space="0" w:color="auto"/>
      </w:divBdr>
    </w:div>
    <w:div w:id="132842101">
      <w:bodyDiv w:val="1"/>
      <w:marLeft w:val="0"/>
      <w:marRight w:val="0"/>
      <w:marTop w:val="0"/>
      <w:marBottom w:val="0"/>
      <w:divBdr>
        <w:top w:val="none" w:sz="0" w:space="0" w:color="auto"/>
        <w:left w:val="none" w:sz="0" w:space="0" w:color="auto"/>
        <w:bottom w:val="none" w:sz="0" w:space="0" w:color="auto"/>
        <w:right w:val="none" w:sz="0" w:space="0" w:color="auto"/>
      </w:divBdr>
    </w:div>
    <w:div w:id="217522818">
      <w:bodyDiv w:val="1"/>
      <w:marLeft w:val="0"/>
      <w:marRight w:val="0"/>
      <w:marTop w:val="0"/>
      <w:marBottom w:val="0"/>
      <w:divBdr>
        <w:top w:val="none" w:sz="0" w:space="0" w:color="auto"/>
        <w:left w:val="none" w:sz="0" w:space="0" w:color="auto"/>
        <w:bottom w:val="none" w:sz="0" w:space="0" w:color="auto"/>
        <w:right w:val="none" w:sz="0" w:space="0" w:color="auto"/>
      </w:divBdr>
    </w:div>
    <w:div w:id="437604428">
      <w:bodyDiv w:val="1"/>
      <w:marLeft w:val="0"/>
      <w:marRight w:val="0"/>
      <w:marTop w:val="0"/>
      <w:marBottom w:val="0"/>
      <w:divBdr>
        <w:top w:val="none" w:sz="0" w:space="0" w:color="auto"/>
        <w:left w:val="none" w:sz="0" w:space="0" w:color="auto"/>
        <w:bottom w:val="none" w:sz="0" w:space="0" w:color="auto"/>
        <w:right w:val="none" w:sz="0" w:space="0" w:color="auto"/>
      </w:divBdr>
    </w:div>
    <w:div w:id="619412553">
      <w:bodyDiv w:val="1"/>
      <w:marLeft w:val="0"/>
      <w:marRight w:val="0"/>
      <w:marTop w:val="0"/>
      <w:marBottom w:val="0"/>
      <w:divBdr>
        <w:top w:val="none" w:sz="0" w:space="0" w:color="auto"/>
        <w:left w:val="none" w:sz="0" w:space="0" w:color="auto"/>
        <w:bottom w:val="none" w:sz="0" w:space="0" w:color="auto"/>
        <w:right w:val="none" w:sz="0" w:space="0" w:color="auto"/>
      </w:divBdr>
    </w:div>
    <w:div w:id="656955283">
      <w:bodyDiv w:val="1"/>
      <w:marLeft w:val="0"/>
      <w:marRight w:val="0"/>
      <w:marTop w:val="0"/>
      <w:marBottom w:val="0"/>
      <w:divBdr>
        <w:top w:val="none" w:sz="0" w:space="0" w:color="auto"/>
        <w:left w:val="none" w:sz="0" w:space="0" w:color="auto"/>
        <w:bottom w:val="none" w:sz="0" w:space="0" w:color="auto"/>
        <w:right w:val="none" w:sz="0" w:space="0" w:color="auto"/>
      </w:divBdr>
    </w:div>
    <w:div w:id="751120422">
      <w:bodyDiv w:val="1"/>
      <w:marLeft w:val="0"/>
      <w:marRight w:val="0"/>
      <w:marTop w:val="0"/>
      <w:marBottom w:val="0"/>
      <w:divBdr>
        <w:top w:val="none" w:sz="0" w:space="0" w:color="auto"/>
        <w:left w:val="none" w:sz="0" w:space="0" w:color="auto"/>
        <w:bottom w:val="none" w:sz="0" w:space="0" w:color="auto"/>
        <w:right w:val="none" w:sz="0" w:space="0" w:color="auto"/>
      </w:divBdr>
    </w:div>
    <w:div w:id="896555268">
      <w:bodyDiv w:val="1"/>
      <w:marLeft w:val="0"/>
      <w:marRight w:val="0"/>
      <w:marTop w:val="0"/>
      <w:marBottom w:val="0"/>
      <w:divBdr>
        <w:top w:val="none" w:sz="0" w:space="0" w:color="auto"/>
        <w:left w:val="none" w:sz="0" w:space="0" w:color="auto"/>
        <w:bottom w:val="none" w:sz="0" w:space="0" w:color="auto"/>
        <w:right w:val="none" w:sz="0" w:space="0" w:color="auto"/>
      </w:divBdr>
    </w:div>
    <w:div w:id="904609986">
      <w:bodyDiv w:val="1"/>
      <w:marLeft w:val="0"/>
      <w:marRight w:val="0"/>
      <w:marTop w:val="0"/>
      <w:marBottom w:val="0"/>
      <w:divBdr>
        <w:top w:val="none" w:sz="0" w:space="0" w:color="auto"/>
        <w:left w:val="none" w:sz="0" w:space="0" w:color="auto"/>
        <w:bottom w:val="none" w:sz="0" w:space="0" w:color="auto"/>
        <w:right w:val="none" w:sz="0" w:space="0" w:color="auto"/>
      </w:divBdr>
    </w:div>
    <w:div w:id="972174357">
      <w:bodyDiv w:val="1"/>
      <w:marLeft w:val="0"/>
      <w:marRight w:val="0"/>
      <w:marTop w:val="0"/>
      <w:marBottom w:val="0"/>
      <w:divBdr>
        <w:top w:val="none" w:sz="0" w:space="0" w:color="auto"/>
        <w:left w:val="none" w:sz="0" w:space="0" w:color="auto"/>
        <w:bottom w:val="none" w:sz="0" w:space="0" w:color="auto"/>
        <w:right w:val="none" w:sz="0" w:space="0" w:color="auto"/>
      </w:divBdr>
    </w:div>
    <w:div w:id="977302354">
      <w:bodyDiv w:val="1"/>
      <w:marLeft w:val="0"/>
      <w:marRight w:val="0"/>
      <w:marTop w:val="0"/>
      <w:marBottom w:val="0"/>
      <w:divBdr>
        <w:top w:val="none" w:sz="0" w:space="0" w:color="auto"/>
        <w:left w:val="none" w:sz="0" w:space="0" w:color="auto"/>
        <w:bottom w:val="none" w:sz="0" w:space="0" w:color="auto"/>
        <w:right w:val="none" w:sz="0" w:space="0" w:color="auto"/>
      </w:divBdr>
    </w:div>
    <w:div w:id="1050492950">
      <w:bodyDiv w:val="1"/>
      <w:marLeft w:val="0"/>
      <w:marRight w:val="0"/>
      <w:marTop w:val="0"/>
      <w:marBottom w:val="0"/>
      <w:divBdr>
        <w:top w:val="none" w:sz="0" w:space="0" w:color="auto"/>
        <w:left w:val="none" w:sz="0" w:space="0" w:color="auto"/>
        <w:bottom w:val="none" w:sz="0" w:space="0" w:color="auto"/>
        <w:right w:val="none" w:sz="0" w:space="0" w:color="auto"/>
      </w:divBdr>
    </w:div>
    <w:div w:id="1172522869">
      <w:bodyDiv w:val="1"/>
      <w:marLeft w:val="0"/>
      <w:marRight w:val="0"/>
      <w:marTop w:val="0"/>
      <w:marBottom w:val="0"/>
      <w:divBdr>
        <w:top w:val="none" w:sz="0" w:space="0" w:color="auto"/>
        <w:left w:val="none" w:sz="0" w:space="0" w:color="auto"/>
        <w:bottom w:val="none" w:sz="0" w:space="0" w:color="auto"/>
        <w:right w:val="none" w:sz="0" w:space="0" w:color="auto"/>
      </w:divBdr>
    </w:div>
    <w:div w:id="1193228288">
      <w:bodyDiv w:val="1"/>
      <w:marLeft w:val="0"/>
      <w:marRight w:val="0"/>
      <w:marTop w:val="0"/>
      <w:marBottom w:val="0"/>
      <w:divBdr>
        <w:top w:val="none" w:sz="0" w:space="0" w:color="auto"/>
        <w:left w:val="none" w:sz="0" w:space="0" w:color="auto"/>
        <w:bottom w:val="none" w:sz="0" w:space="0" w:color="auto"/>
        <w:right w:val="none" w:sz="0" w:space="0" w:color="auto"/>
      </w:divBdr>
    </w:div>
    <w:div w:id="1345135188">
      <w:bodyDiv w:val="1"/>
      <w:marLeft w:val="0"/>
      <w:marRight w:val="0"/>
      <w:marTop w:val="0"/>
      <w:marBottom w:val="0"/>
      <w:divBdr>
        <w:top w:val="none" w:sz="0" w:space="0" w:color="auto"/>
        <w:left w:val="none" w:sz="0" w:space="0" w:color="auto"/>
        <w:bottom w:val="none" w:sz="0" w:space="0" w:color="auto"/>
        <w:right w:val="none" w:sz="0" w:space="0" w:color="auto"/>
      </w:divBdr>
    </w:div>
    <w:div w:id="1357543828">
      <w:bodyDiv w:val="1"/>
      <w:marLeft w:val="0"/>
      <w:marRight w:val="0"/>
      <w:marTop w:val="0"/>
      <w:marBottom w:val="0"/>
      <w:divBdr>
        <w:top w:val="none" w:sz="0" w:space="0" w:color="auto"/>
        <w:left w:val="none" w:sz="0" w:space="0" w:color="auto"/>
        <w:bottom w:val="none" w:sz="0" w:space="0" w:color="auto"/>
        <w:right w:val="none" w:sz="0" w:space="0" w:color="auto"/>
      </w:divBdr>
    </w:div>
    <w:div w:id="1422027309">
      <w:bodyDiv w:val="1"/>
      <w:marLeft w:val="0"/>
      <w:marRight w:val="0"/>
      <w:marTop w:val="0"/>
      <w:marBottom w:val="0"/>
      <w:divBdr>
        <w:top w:val="none" w:sz="0" w:space="0" w:color="auto"/>
        <w:left w:val="none" w:sz="0" w:space="0" w:color="auto"/>
        <w:bottom w:val="none" w:sz="0" w:space="0" w:color="auto"/>
        <w:right w:val="none" w:sz="0" w:space="0" w:color="auto"/>
      </w:divBdr>
    </w:div>
    <w:div w:id="1440293310">
      <w:bodyDiv w:val="1"/>
      <w:marLeft w:val="0"/>
      <w:marRight w:val="0"/>
      <w:marTop w:val="0"/>
      <w:marBottom w:val="0"/>
      <w:divBdr>
        <w:top w:val="none" w:sz="0" w:space="0" w:color="auto"/>
        <w:left w:val="none" w:sz="0" w:space="0" w:color="auto"/>
        <w:bottom w:val="none" w:sz="0" w:space="0" w:color="auto"/>
        <w:right w:val="none" w:sz="0" w:space="0" w:color="auto"/>
      </w:divBdr>
    </w:div>
    <w:div w:id="1542085589">
      <w:bodyDiv w:val="1"/>
      <w:marLeft w:val="0"/>
      <w:marRight w:val="0"/>
      <w:marTop w:val="0"/>
      <w:marBottom w:val="0"/>
      <w:divBdr>
        <w:top w:val="none" w:sz="0" w:space="0" w:color="auto"/>
        <w:left w:val="none" w:sz="0" w:space="0" w:color="auto"/>
        <w:bottom w:val="none" w:sz="0" w:space="0" w:color="auto"/>
        <w:right w:val="none" w:sz="0" w:space="0" w:color="auto"/>
      </w:divBdr>
    </w:div>
    <w:div w:id="1669089713">
      <w:bodyDiv w:val="1"/>
      <w:marLeft w:val="0"/>
      <w:marRight w:val="0"/>
      <w:marTop w:val="0"/>
      <w:marBottom w:val="0"/>
      <w:divBdr>
        <w:top w:val="none" w:sz="0" w:space="0" w:color="auto"/>
        <w:left w:val="none" w:sz="0" w:space="0" w:color="auto"/>
        <w:bottom w:val="none" w:sz="0" w:space="0" w:color="auto"/>
        <w:right w:val="none" w:sz="0" w:space="0" w:color="auto"/>
      </w:divBdr>
    </w:div>
    <w:div w:id="1902667828">
      <w:bodyDiv w:val="1"/>
      <w:marLeft w:val="0"/>
      <w:marRight w:val="0"/>
      <w:marTop w:val="0"/>
      <w:marBottom w:val="0"/>
      <w:divBdr>
        <w:top w:val="none" w:sz="0" w:space="0" w:color="auto"/>
        <w:left w:val="none" w:sz="0" w:space="0" w:color="auto"/>
        <w:bottom w:val="none" w:sz="0" w:space="0" w:color="auto"/>
        <w:right w:val="none" w:sz="0" w:space="0" w:color="auto"/>
      </w:divBdr>
    </w:div>
    <w:div w:id="1984701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4739-281A-461C-BD5F-D0D3ADAE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15656</Words>
  <Characters>89241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unika</cp:lastModifiedBy>
  <cp:revision>5</cp:revision>
  <dcterms:created xsi:type="dcterms:W3CDTF">2020-02-25T06:38:00Z</dcterms:created>
  <dcterms:modified xsi:type="dcterms:W3CDTF">2020-04-20T04:42:00Z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5e23251a-ed09-3798-ab2b-d2fb9ce6f969</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Style (author-date)</vt:lpwstr>
  </property>
</Properties>
</file>